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36" w:rsidRDefault="00692636" w:rsidP="00692636">
      <w:pPr>
        <w:pBdr>
          <w:bottom w:val="single" w:sz="4" w:space="1" w:color="1F497D" w:themeColor="text2"/>
        </w:pBdr>
        <w:ind w:left="-142" w:right="-1" w:firstLine="0"/>
        <w:rPr>
          <w:rFonts w:ascii="Arial" w:hAnsi="Arial" w:cs="Arial"/>
          <w:b/>
          <w:color w:val="1F497D" w:themeColor="text2"/>
          <w:sz w:val="24"/>
          <w:szCs w:val="24"/>
          <w:lang w:val="es-ES"/>
        </w:rPr>
      </w:pPr>
      <w:r>
        <w:rPr>
          <w:rFonts w:ascii="Arial" w:hAnsi="Arial" w:cs="Arial"/>
          <w:b/>
          <w:color w:val="1F497D" w:themeColor="text2"/>
          <w:sz w:val="24"/>
          <w:szCs w:val="24"/>
          <w:lang w:val="es-ES"/>
        </w:rPr>
        <w:t>3.</w:t>
      </w:r>
      <w:r>
        <w:rPr>
          <w:rFonts w:ascii="Arial" w:hAnsi="Arial" w:cs="Arial"/>
          <w:b/>
          <w:color w:val="1F497D" w:themeColor="text2"/>
          <w:sz w:val="24"/>
          <w:szCs w:val="24"/>
          <w:lang w:val="es-ES"/>
        </w:rPr>
        <w:tab/>
      </w:r>
      <w:r w:rsidRPr="00CD3BBA">
        <w:rPr>
          <w:rFonts w:ascii="Arial" w:hAnsi="Arial" w:cs="Arial"/>
          <w:b/>
          <w:color w:val="1F497D" w:themeColor="text2"/>
          <w:lang w:val="es-ES"/>
        </w:rPr>
        <w:t>Obligación de auditoría</w:t>
      </w:r>
    </w:p>
    <w:p w:rsidR="00692636" w:rsidRDefault="00692636" w:rsidP="00692636">
      <w:pPr>
        <w:ind w:left="0" w:right="-1" w:firstLine="0"/>
        <w:rPr>
          <w:rFonts w:ascii="Arial" w:hAnsi="Arial" w:cs="Arial"/>
          <w:b/>
          <w:color w:val="1F497D" w:themeColor="text2"/>
          <w:sz w:val="24"/>
          <w:szCs w:val="24"/>
          <w:lang w:val="es-ES"/>
        </w:rPr>
      </w:pPr>
    </w:p>
    <w:tbl>
      <w:tblPr>
        <w:tblStyle w:val="Listamedia1-nfasis6"/>
        <w:tblW w:w="8647"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775"/>
        <w:gridCol w:w="7260"/>
        <w:gridCol w:w="612"/>
      </w:tblGrid>
      <w:tr w:rsidR="00692636" w:rsidRPr="00C031C0" w:rsidTr="00FC33C5">
        <w:trPr>
          <w:cnfStyle w:val="000000100000"/>
        </w:trPr>
        <w:tc>
          <w:tcPr>
            <w:cnfStyle w:val="001000000000"/>
            <w:tcW w:w="775" w:type="dxa"/>
            <w:tcBorders>
              <w:top w:val="nil"/>
              <w:left w:val="nil"/>
              <w:bottom w:val="nil"/>
              <w:right w:val="nil"/>
            </w:tcBorders>
            <w:shd w:val="clear" w:color="auto" w:fill="DBE5F1" w:themeFill="accent1" w:themeFillTint="33"/>
          </w:tcPr>
          <w:p w:rsidR="00692636" w:rsidRPr="00B036D9" w:rsidRDefault="00692636" w:rsidP="00FC33C5">
            <w:pPr>
              <w:ind w:left="0" w:right="-1" w:firstLine="0"/>
              <w:jc w:val="left"/>
              <w:rPr>
                <w:rFonts w:ascii="Arial" w:hAnsi="Arial" w:cs="Arial"/>
                <w:color w:val="1F497D" w:themeColor="text2"/>
                <w:lang w:val="es-ES"/>
              </w:rPr>
            </w:pPr>
            <w:r w:rsidRPr="00B036D9">
              <w:rPr>
                <w:rFonts w:ascii="Arial" w:hAnsi="Arial" w:cs="Arial"/>
                <w:color w:val="1F497D" w:themeColor="text2"/>
                <w:lang w:val="es-ES"/>
              </w:rPr>
              <w:t>3.1</w:t>
            </w:r>
          </w:p>
        </w:tc>
        <w:tc>
          <w:tcPr>
            <w:tcW w:w="7260" w:type="dxa"/>
            <w:tcBorders>
              <w:top w:val="nil"/>
              <w:left w:val="nil"/>
              <w:bottom w:val="nil"/>
              <w:right w:val="nil"/>
            </w:tcBorders>
            <w:shd w:val="clear" w:color="auto" w:fill="DBE5F1" w:themeFill="accent1" w:themeFillTint="33"/>
          </w:tcPr>
          <w:p w:rsidR="00692636" w:rsidRPr="00C031C0" w:rsidRDefault="00692636" w:rsidP="00FC33C5">
            <w:pPr>
              <w:ind w:left="0" w:right="-1" w:firstLine="0"/>
              <w:jc w:val="left"/>
              <w:cnfStyle w:val="000000100000"/>
              <w:rPr>
                <w:rFonts w:ascii="Arial" w:hAnsi="Arial" w:cs="Arial"/>
                <w:color w:val="auto"/>
                <w:lang w:val="es-ES"/>
              </w:rPr>
            </w:pPr>
            <w:r w:rsidRPr="00C031C0">
              <w:rPr>
                <w:rFonts w:ascii="Arial" w:hAnsi="Arial" w:cs="Arial"/>
                <w:color w:val="auto"/>
                <w:lang w:val="es-ES"/>
              </w:rPr>
              <w:t>Cuentas anuales individuales</w:t>
            </w:r>
          </w:p>
        </w:tc>
        <w:tc>
          <w:tcPr>
            <w:tcW w:w="612" w:type="dxa"/>
            <w:tcBorders>
              <w:top w:val="nil"/>
              <w:left w:val="nil"/>
              <w:bottom w:val="nil"/>
              <w:right w:val="nil"/>
            </w:tcBorders>
            <w:shd w:val="clear" w:color="auto" w:fill="DBE5F1" w:themeFill="accent1" w:themeFillTint="33"/>
          </w:tcPr>
          <w:p w:rsidR="00692636" w:rsidRPr="00C031C0" w:rsidRDefault="00692636" w:rsidP="00FC33C5">
            <w:pPr>
              <w:ind w:left="0" w:right="-1" w:firstLine="0"/>
              <w:jc w:val="center"/>
              <w:cnfStyle w:val="000000100000"/>
              <w:rPr>
                <w:rFonts w:ascii="Arial" w:hAnsi="Arial" w:cs="Arial"/>
                <w:color w:val="auto"/>
                <w:sz w:val="24"/>
                <w:szCs w:val="24"/>
                <w:lang w:val="es-ES"/>
              </w:rPr>
            </w:pPr>
          </w:p>
        </w:tc>
      </w:tr>
    </w:tbl>
    <w:p w:rsidR="00692636" w:rsidRDefault="00692636" w:rsidP="00692636">
      <w:pPr>
        <w:ind w:left="0" w:right="-1" w:firstLine="0"/>
        <w:rPr>
          <w:rFonts w:ascii="Arial" w:hAnsi="Arial" w:cs="Arial"/>
          <w:b/>
          <w:color w:val="1F497D" w:themeColor="text2"/>
          <w:sz w:val="24"/>
          <w:szCs w:val="24"/>
          <w:lang w:val="es-ES"/>
        </w:rPr>
      </w:pPr>
    </w:p>
    <w:p w:rsidR="00692636" w:rsidRPr="006D3159" w:rsidRDefault="00692636" w:rsidP="00692636">
      <w:pPr>
        <w:ind w:left="0" w:right="-1" w:firstLine="0"/>
        <w:rPr>
          <w:rFonts w:ascii="Arial" w:hAnsi="Arial" w:cs="Arial"/>
          <w:lang w:val="es-ES"/>
        </w:rPr>
      </w:pPr>
      <w:r w:rsidRPr="006D3159">
        <w:rPr>
          <w:rFonts w:ascii="Arial" w:hAnsi="Arial" w:cs="Arial"/>
          <w:lang w:val="es-ES"/>
        </w:rPr>
        <w:t>La obligación de auditoría, sin perjuicio de lo establecido en otras disposiciones queda regulada en la Disposición adicional primera del TRLAC. En dicha disposición se establece que deberán someterse en todo caso a la auditoría de cuentas,</w:t>
      </w:r>
      <w:r>
        <w:rPr>
          <w:rFonts w:ascii="Arial" w:hAnsi="Arial" w:cs="Arial"/>
          <w:lang w:val="es-ES"/>
        </w:rPr>
        <w:t xml:space="preserve"> </w:t>
      </w:r>
      <w:r w:rsidRPr="006D3159">
        <w:rPr>
          <w:rFonts w:ascii="Arial" w:hAnsi="Arial" w:cs="Arial"/>
          <w:lang w:val="es-ES"/>
        </w:rPr>
        <w:t>según queda definida en el apartado 2 del artículo 1 del TRLAC,  las entidades, cualquiera que sea su naturaleza jurídica, en las que concurra alguna de las siguientes circunstancias:</w:t>
      </w:r>
    </w:p>
    <w:p w:rsidR="00692636" w:rsidRDefault="00692636" w:rsidP="00692636">
      <w:pPr>
        <w:ind w:left="0" w:right="-1" w:firstLine="0"/>
        <w:rPr>
          <w:rFonts w:ascii="Arial" w:hAnsi="Arial" w:cs="Arial"/>
          <w:lang w:val="es-ES"/>
        </w:rPr>
      </w:pP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Que emitan valores admitidos a negociación en mercados regulados o sistemas multilaterales de negociación.</w:t>
      </w: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Que emitan obligaciones en oferta pública.</w:t>
      </w: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 xml:space="preserve">Que se dediquen de forma habitual a la intermediación financiera, y, en todo caso, las entidades de crédito, las empresas de servicios de inversión, las sociedades rectoras de los mercados secundarios oficiales, las entidades rectoras de los sistemas de multilaterales de negociación, la Sociedad de Sistemas, las entidades de contrapartida central, la Sociedad de Bolsas, las sociedades gestoras de los fondos de garantía de inversiones y las demás entidades financieras, incluidas las instituciones de inversión colectiva, fondos de </w:t>
      </w:r>
      <w:proofErr w:type="spellStart"/>
      <w:r w:rsidRPr="006D3159">
        <w:rPr>
          <w:rFonts w:ascii="Arial" w:hAnsi="Arial" w:cs="Arial"/>
          <w:sz w:val="20"/>
          <w:szCs w:val="20"/>
        </w:rPr>
        <w:t>titulización</w:t>
      </w:r>
      <w:proofErr w:type="spellEnd"/>
      <w:r w:rsidRPr="006D3159">
        <w:rPr>
          <w:rFonts w:ascii="Arial" w:hAnsi="Arial" w:cs="Arial"/>
          <w:sz w:val="20"/>
          <w:szCs w:val="20"/>
        </w:rPr>
        <w:t xml:space="preserve"> y sus gestoras, inscritas en los correspondientes Registros del Banco de España y de la Comisión Nacional del Mercado de Valores.</w:t>
      </w: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Que tengan por objeto social cualquier actividad sujeta al texto refundido de la Ley de ordenación y supervisión de los seguros privados, aprobado por Real Decreto Legislativo 6/2004, de 29 de octubre, dentro de los límites que reglamentariamente se establezcan, así como los Fondos de pensiones y sus entidades gestoras.</w:t>
      </w: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Que reciban subvenciones, ayudas o realicen obras, prestaciones, servicios o suministren bienes al Estado y demás Organismos Públicos dentro de los límites que reglamentariamente fije el Gobierno por Real Decreto.</w:t>
      </w:r>
    </w:p>
    <w:p w:rsidR="00692636" w:rsidRPr="006D3159" w:rsidRDefault="00692636" w:rsidP="00692636">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714" w:right="424" w:hanging="357"/>
        <w:jc w:val="both"/>
        <w:rPr>
          <w:rFonts w:ascii="Arial" w:hAnsi="Arial" w:cs="Arial"/>
          <w:sz w:val="20"/>
          <w:szCs w:val="20"/>
        </w:rPr>
      </w:pPr>
      <w:r w:rsidRPr="006D3159">
        <w:rPr>
          <w:rFonts w:ascii="Arial" w:hAnsi="Arial" w:cs="Arial"/>
          <w:sz w:val="20"/>
          <w:szCs w:val="20"/>
        </w:rPr>
        <w:t>Las demás entidades que superen los límites que reglamentariamente fije el Gobierno por Real Decreto. Dichos límites se referirán, al menos, a la cifra de negocios, al importe total del activo según balance y al número anual medio de empleados, y se aplicarán, todos o cada uno de ellos, según lo permita la respectiva naturaleza jurídica de cada sociedad o entidad.</w:t>
      </w:r>
    </w:p>
    <w:p w:rsidR="00692636" w:rsidRDefault="00692636" w:rsidP="00692636">
      <w:pPr>
        <w:ind w:left="0" w:right="-1" w:firstLine="0"/>
        <w:rPr>
          <w:rFonts w:ascii="Arial" w:hAnsi="Arial" w:cs="Arial"/>
          <w:lang w:val="es-ES"/>
        </w:rPr>
      </w:pPr>
    </w:p>
    <w:p w:rsidR="00692636" w:rsidRDefault="00692636" w:rsidP="00692636">
      <w:pPr>
        <w:pStyle w:val="NormalWeb"/>
        <w:spacing w:before="0" w:beforeAutospacing="0" w:after="0" w:afterAutospacing="0"/>
        <w:ind w:left="284" w:right="425"/>
        <w:jc w:val="both"/>
        <w:rPr>
          <w:rFonts w:ascii="Arial" w:hAnsi="Arial" w:cs="Arial"/>
          <w:sz w:val="20"/>
          <w:szCs w:val="20"/>
        </w:rPr>
      </w:pPr>
      <w:r w:rsidRPr="006D3159">
        <w:rPr>
          <w:rFonts w:ascii="Arial" w:hAnsi="Arial" w:cs="Arial"/>
          <w:sz w:val="20"/>
          <w:szCs w:val="20"/>
        </w:rPr>
        <w:t>Lo previsto en esta disposición adicional no es aplicable a las entidades que formen parte del sector público estatal, autonómico o local, sin perjuicio de lo que disponga la normativa que regula dichas entidades del sector público. En todo caso, lo previsto en esta disposición adicional será aplicable a las sociedades mercantiles que formen parte del sector público estatal, autonómico o local.</w:t>
      </w:r>
    </w:p>
    <w:p w:rsidR="00692636" w:rsidRPr="006D3159" w:rsidRDefault="00692636" w:rsidP="00692636">
      <w:pPr>
        <w:pStyle w:val="NormalWeb"/>
        <w:spacing w:before="0" w:beforeAutospacing="0" w:after="0" w:afterAutospacing="0"/>
        <w:ind w:left="284" w:right="425"/>
        <w:jc w:val="both"/>
        <w:rPr>
          <w:rFonts w:ascii="Arial" w:hAnsi="Arial" w:cs="Arial"/>
          <w:sz w:val="20"/>
          <w:szCs w:val="20"/>
        </w:rPr>
      </w:pPr>
    </w:p>
    <w:p w:rsidR="00692636" w:rsidRPr="006D3159" w:rsidRDefault="00692636" w:rsidP="00692636">
      <w:pPr>
        <w:pStyle w:val="NormalWeb"/>
        <w:spacing w:before="0" w:beforeAutospacing="0" w:after="0" w:afterAutospacing="0"/>
        <w:ind w:left="284" w:right="425"/>
        <w:jc w:val="both"/>
        <w:rPr>
          <w:rFonts w:ascii="Arial" w:hAnsi="Arial" w:cs="Arial"/>
          <w:sz w:val="20"/>
          <w:szCs w:val="20"/>
        </w:rPr>
      </w:pPr>
      <w:r w:rsidRPr="006D3159">
        <w:rPr>
          <w:rFonts w:ascii="Arial" w:hAnsi="Arial" w:cs="Arial"/>
          <w:sz w:val="20"/>
          <w:szCs w:val="20"/>
        </w:rPr>
        <w:t>Las sucursales en España de entidades de crédito extranjeras, cuando no tengan que presentar cuentas anuales de su actividad en España, deberán someter a auditoría la información económica financiera que con carácter anual deban hacer pública, y la que con carácter reservado remitan al Banco de España, de conformidad con el marco normativo contable que resulte de aplicación.</w:t>
      </w:r>
    </w:p>
    <w:p w:rsidR="00692636" w:rsidRDefault="00692636" w:rsidP="00692636">
      <w:pPr>
        <w:ind w:left="0" w:right="-1" w:firstLine="0"/>
        <w:rPr>
          <w:rFonts w:ascii="Arial" w:hAnsi="Arial" w:cs="Arial"/>
          <w:lang w:val="es-ES"/>
        </w:rPr>
      </w:pPr>
    </w:p>
    <w:p w:rsidR="00692636" w:rsidRPr="006D3159" w:rsidRDefault="00692636" w:rsidP="00692636">
      <w:pPr>
        <w:ind w:left="0" w:right="-1" w:firstLine="0"/>
        <w:rPr>
          <w:rFonts w:ascii="Arial" w:hAnsi="Arial" w:cs="Arial"/>
          <w:lang w:val="es-ES"/>
        </w:rPr>
      </w:pPr>
      <w:r w:rsidRPr="006D3159">
        <w:rPr>
          <w:rFonts w:ascii="Arial" w:hAnsi="Arial" w:cs="Arial"/>
          <w:lang w:val="es-ES"/>
        </w:rPr>
        <w:t>Por otra parte</w:t>
      </w:r>
      <w:r>
        <w:rPr>
          <w:rFonts w:ascii="Arial" w:hAnsi="Arial" w:cs="Arial"/>
          <w:lang w:val="es-ES"/>
        </w:rPr>
        <w:t>,</w:t>
      </w:r>
      <w:r w:rsidRPr="006D3159">
        <w:rPr>
          <w:rFonts w:ascii="Arial" w:hAnsi="Arial" w:cs="Arial"/>
          <w:lang w:val="es-ES"/>
        </w:rPr>
        <w:t xml:space="preserve"> la Disposición adicional segunda del TRLAC establece que esta ley no es de aplicación “a las actividades de revisión y verificación de cuentas anuales, estados financieros u otros documentos contables, ni a la emisión de los correspondientes informes, que se realicen por órganos de las Administraciones Públicas en el ejercicio de sus competencias, que continuarán rigiéndos</w:t>
      </w:r>
      <w:r>
        <w:rPr>
          <w:rFonts w:ascii="Arial" w:hAnsi="Arial" w:cs="Arial"/>
          <w:lang w:val="es-ES"/>
        </w:rPr>
        <w:t>e por su legislación específica”.</w:t>
      </w:r>
    </w:p>
    <w:p w:rsidR="00692636" w:rsidRDefault="00692636" w:rsidP="00692636">
      <w:pPr>
        <w:ind w:left="0" w:right="-1" w:firstLine="0"/>
        <w:rPr>
          <w:rFonts w:ascii="Arial" w:hAnsi="Arial" w:cs="Arial"/>
          <w:lang w:val="es-ES"/>
        </w:rPr>
      </w:pPr>
    </w:p>
    <w:p w:rsidR="00DB2624" w:rsidRDefault="00DB2624" w:rsidP="00692636">
      <w:pPr>
        <w:ind w:left="0" w:right="-1" w:firstLine="0"/>
        <w:rPr>
          <w:rFonts w:ascii="Arial" w:hAnsi="Arial" w:cs="Arial"/>
          <w:lang w:val="es-ES"/>
        </w:rPr>
      </w:pPr>
    </w:p>
    <w:p w:rsidR="00DB2624" w:rsidRDefault="00DB2624"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p>
    <w:p w:rsidR="00692636" w:rsidRPr="001D6452" w:rsidRDefault="00692636" w:rsidP="00692636">
      <w:pPr>
        <w:pStyle w:val="Prrafodelista"/>
        <w:numPr>
          <w:ilvl w:val="0"/>
          <w:numId w:val="6"/>
        </w:numPr>
        <w:pBdr>
          <w:bottom w:val="single" w:sz="4" w:space="1" w:color="1F497D" w:themeColor="text2"/>
        </w:pBdr>
        <w:ind w:right="-1" w:hanging="720"/>
        <w:rPr>
          <w:rFonts w:ascii="Arial" w:hAnsi="Arial" w:cs="Arial"/>
          <w:b/>
          <w:color w:val="1F497D" w:themeColor="text2"/>
          <w:lang w:val="es-ES"/>
        </w:rPr>
      </w:pPr>
      <w:r w:rsidRPr="001D6452">
        <w:rPr>
          <w:rFonts w:ascii="Arial" w:hAnsi="Arial" w:cs="Arial"/>
          <w:b/>
          <w:color w:val="1F497D" w:themeColor="text2"/>
          <w:lang w:val="es-ES"/>
        </w:rPr>
        <w:lastRenderedPageBreak/>
        <w:t>Entidades que reciben subvenciones o ayudas o realicen contratos</w:t>
      </w:r>
    </w:p>
    <w:p w:rsidR="00692636" w:rsidRDefault="00692636"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r>
        <w:rPr>
          <w:rFonts w:ascii="Arial" w:hAnsi="Arial" w:cs="Arial"/>
          <w:lang w:val="es-ES"/>
        </w:rPr>
        <w:t xml:space="preserve">Las disposiciones adicionales segunda y tercera del RTRLAC desarrollan el </w:t>
      </w:r>
      <w:r w:rsidRPr="008D157E">
        <w:rPr>
          <w:rFonts w:ascii="Arial" w:hAnsi="Arial" w:cs="Arial"/>
          <w:lang w:val="es-ES"/>
        </w:rPr>
        <w:t>apartado 1e) de la Disposición adicional primera del TRLAC,</w:t>
      </w:r>
      <w:r>
        <w:rPr>
          <w:rFonts w:ascii="Arial" w:hAnsi="Arial" w:cs="Arial"/>
          <w:lang w:val="es-ES"/>
        </w:rPr>
        <w:t xml:space="preserve"> estableciendo la obligación de auditoría, sin perjuicio de lo establecido en otras disposiciones legales,  a aquellas entidades, cualquiera que sea su naturaleza jurídica y siempre que deban formular cuentas anuales conforme al marco normativo de información financiera que le sea aplicable, que cumplan algunas de las siguientes condiciones:</w:t>
      </w:r>
    </w:p>
    <w:p w:rsidR="00DB2624" w:rsidRDefault="00DB2624" w:rsidP="00692636">
      <w:pPr>
        <w:ind w:left="0" w:right="-1" w:firstLine="0"/>
        <w:rPr>
          <w:rFonts w:ascii="Arial" w:hAnsi="Arial" w:cs="Arial"/>
          <w:lang w:val="es-ES"/>
        </w:rPr>
      </w:pPr>
    </w:p>
    <w:tbl>
      <w:tblPr>
        <w:tblStyle w:val="Tablaconcuadrcu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tblPr>
      <w:tblGrid>
        <w:gridCol w:w="2976"/>
        <w:gridCol w:w="2976"/>
        <w:gridCol w:w="2977"/>
      </w:tblGrid>
      <w:tr w:rsidR="00DB2624" w:rsidTr="00D97303">
        <w:tc>
          <w:tcPr>
            <w:tcW w:w="2976" w:type="dxa"/>
            <w:tcBorders>
              <w:top w:val="single" w:sz="4" w:space="0" w:color="1F497D" w:themeColor="text2"/>
              <w:bottom w:val="single" w:sz="4" w:space="0" w:color="1F497D" w:themeColor="text2"/>
            </w:tcBorders>
          </w:tcPr>
          <w:p w:rsidR="00DB2624" w:rsidRDefault="00DB2624" w:rsidP="00DB2624">
            <w:pPr>
              <w:spacing w:before="120"/>
              <w:ind w:left="0" w:firstLine="0"/>
              <w:jc w:val="center"/>
              <w:rPr>
                <w:rFonts w:ascii="Arial" w:hAnsi="Arial" w:cs="Arial"/>
                <w:lang w:val="es-ES"/>
              </w:rPr>
            </w:pPr>
            <w:r w:rsidRPr="00216CA1">
              <w:rPr>
                <w:rFonts w:ascii="Arial" w:hAnsi="Arial" w:cs="Arial"/>
                <w:b/>
                <w:color w:val="1F497D" w:themeColor="text2"/>
                <w:sz w:val="20"/>
                <w:szCs w:val="20"/>
                <w:lang w:val="es-ES"/>
              </w:rPr>
              <w:t>Concepto</w:t>
            </w:r>
            <w:r>
              <w:rPr>
                <w:rFonts w:ascii="Arial" w:hAnsi="Arial" w:cs="Arial"/>
                <w:b/>
                <w:color w:val="1F497D" w:themeColor="text2"/>
                <w:sz w:val="20"/>
                <w:szCs w:val="20"/>
                <w:lang w:val="es-ES"/>
              </w:rPr>
              <w:br/>
            </w:r>
          </w:p>
        </w:tc>
        <w:tc>
          <w:tcPr>
            <w:tcW w:w="2976" w:type="dxa"/>
            <w:tcBorders>
              <w:top w:val="single" w:sz="4" w:space="0" w:color="1F497D" w:themeColor="text2"/>
              <w:bottom w:val="single" w:sz="4" w:space="0" w:color="1F497D" w:themeColor="text2"/>
            </w:tcBorders>
          </w:tcPr>
          <w:p w:rsidR="00DB2624" w:rsidRDefault="00DB2624" w:rsidP="00DB2624">
            <w:pPr>
              <w:spacing w:before="120"/>
              <w:ind w:left="0" w:firstLine="0"/>
              <w:jc w:val="center"/>
              <w:rPr>
                <w:rFonts w:ascii="Arial" w:hAnsi="Arial" w:cs="Arial"/>
                <w:lang w:val="es-ES"/>
              </w:rPr>
            </w:pPr>
            <w:r w:rsidRPr="00216CA1">
              <w:rPr>
                <w:rFonts w:ascii="Arial" w:hAnsi="Arial" w:cs="Arial"/>
                <w:b/>
                <w:color w:val="1F497D" w:themeColor="text2"/>
                <w:sz w:val="20"/>
                <w:szCs w:val="20"/>
                <w:lang w:val="es-ES"/>
              </w:rPr>
              <w:t>Límite</w:t>
            </w:r>
          </w:p>
        </w:tc>
        <w:tc>
          <w:tcPr>
            <w:tcW w:w="2977" w:type="dxa"/>
            <w:tcBorders>
              <w:top w:val="single" w:sz="4" w:space="0" w:color="1F497D" w:themeColor="text2"/>
              <w:bottom w:val="single" w:sz="4" w:space="0" w:color="1F497D" w:themeColor="text2"/>
            </w:tcBorders>
          </w:tcPr>
          <w:p w:rsidR="00DB2624" w:rsidRDefault="00DB2624" w:rsidP="00DB2624">
            <w:pPr>
              <w:spacing w:before="120"/>
              <w:ind w:left="0" w:firstLine="0"/>
              <w:jc w:val="center"/>
              <w:rPr>
                <w:rFonts w:ascii="Arial" w:hAnsi="Arial" w:cs="Arial"/>
                <w:lang w:val="es-ES"/>
              </w:rPr>
            </w:pPr>
            <w:r w:rsidRPr="00216CA1">
              <w:rPr>
                <w:rFonts w:ascii="Arial" w:hAnsi="Arial" w:cs="Arial"/>
                <w:b/>
                <w:color w:val="1F497D" w:themeColor="text2"/>
                <w:sz w:val="20"/>
                <w:szCs w:val="20"/>
                <w:lang w:val="es-ES"/>
              </w:rPr>
              <w:t>Cuentas anuales a auditar</w:t>
            </w:r>
          </w:p>
        </w:tc>
      </w:tr>
      <w:tr w:rsidR="00DB2624" w:rsidTr="00D97303">
        <w:tc>
          <w:tcPr>
            <w:tcW w:w="2976" w:type="dxa"/>
            <w:tcBorders>
              <w:top w:val="single" w:sz="4" w:space="0" w:color="1F497D" w:themeColor="text2"/>
              <w:bottom w:val="single" w:sz="4" w:space="0" w:color="1F497D" w:themeColor="text2"/>
            </w:tcBorders>
            <w:shd w:val="clear" w:color="auto" w:fill="DBE5F1" w:themeFill="accent1" w:themeFillTint="33"/>
          </w:tcPr>
          <w:p w:rsidR="00DB2624" w:rsidRDefault="00DC4BDC" w:rsidP="00D97303">
            <w:pPr>
              <w:spacing w:before="120" w:after="120"/>
              <w:ind w:left="0" w:right="-1" w:firstLine="0"/>
              <w:jc w:val="left"/>
              <w:rPr>
                <w:rFonts w:ascii="Arial" w:hAnsi="Arial" w:cs="Arial"/>
                <w:lang w:val="es-ES"/>
              </w:rPr>
            </w:pPr>
            <w:r>
              <w:rPr>
                <w:rFonts w:ascii="Arial" w:hAnsi="Arial" w:cs="Arial"/>
                <w:sz w:val="20"/>
                <w:szCs w:val="20"/>
                <w:lang w:val="es-ES"/>
              </w:rPr>
              <w:t xml:space="preserve">Haber recibido </w:t>
            </w:r>
            <w:r w:rsidRPr="00B51BB0">
              <w:rPr>
                <w:rFonts w:ascii="Arial" w:hAnsi="Arial" w:cs="Arial"/>
                <w:b/>
                <w:color w:val="1F497D" w:themeColor="text2"/>
                <w:sz w:val="20"/>
                <w:szCs w:val="20"/>
                <w:lang w:val="es-ES"/>
              </w:rPr>
              <w:t>subvenciones o ayudas,</w:t>
            </w:r>
            <w:r>
              <w:rPr>
                <w:rFonts w:ascii="Arial" w:hAnsi="Arial" w:cs="Arial"/>
                <w:b/>
                <w:color w:val="1F497D" w:themeColor="text2"/>
                <w:sz w:val="20"/>
                <w:szCs w:val="20"/>
                <w:lang w:val="es-ES"/>
              </w:rPr>
              <w:t xml:space="preserve"> </w:t>
            </w:r>
            <w:r w:rsidRPr="00B51BB0">
              <w:rPr>
                <w:rFonts w:ascii="Arial" w:hAnsi="Arial" w:cs="Arial"/>
                <w:sz w:val="20"/>
                <w:szCs w:val="20"/>
                <w:lang w:val="es-ES"/>
              </w:rPr>
              <w:t xml:space="preserve">entendiendo por </w:t>
            </w:r>
            <w:r>
              <w:rPr>
                <w:rFonts w:ascii="Arial" w:hAnsi="Arial" w:cs="Arial"/>
                <w:sz w:val="20"/>
                <w:szCs w:val="20"/>
                <w:lang w:val="es-ES"/>
              </w:rPr>
              <w:t>é</w:t>
            </w:r>
            <w:r w:rsidRPr="00B51BB0">
              <w:rPr>
                <w:rFonts w:ascii="Arial" w:hAnsi="Arial" w:cs="Arial"/>
                <w:sz w:val="20"/>
                <w:szCs w:val="20"/>
                <w:lang w:val="es-ES"/>
              </w:rPr>
              <w:t>stas</w:t>
            </w:r>
            <w:r>
              <w:rPr>
                <w:rFonts w:ascii="Arial" w:hAnsi="Arial" w:cs="Arial"/>
                <w:sz w:val="20"/>
                <w:szCs w:val="20"/>
                <w:lang w:val="es-ES"/>
              </w:rPr>
              <w:t xml:space="preserve"> las consideradas como tales en el artículo 2 de la Ley 38/2003, de 17 de noviembre, General de Subvenciones, </w:t>
            </w:r>
            <w:r w:rsidRPr="00216CA1">
              <w:rPr>
                <w:rFonts w:ascii="Arial" w:hAnsi="Arial" w:cs="Arial"/>
                <w:sz w:val="20"/>
                <w:szCs w:val="20"/>
                <w:lang w:val="es-ES"/>
              </w:rPr>
              <w:t xml:space="preserve"> con cargo a los presupuestos de las Administraciones Públicas o a fondos de la Unión Europea</w:t>
            </w:r>
            <w:r>
              <w:rPr>
                <w:rFonts w:ascii="Arial" w:hAnsi="Arial" w:cs="Arial"/>
                <w:sz w:val="20"/>
                <w:szCs w:val="20"/>
                <w:lang w:val="es-ES"/>
              </w:rPr>
              <w:t>.</w:t>
            </w:r>
          </w:p>
        </w:tc>
        <w:tc>
          <w:tcPr>
            <w:tcW w:w="2976" w:type="dxa"/>
            <w:tcBorders>
              <w:top w:val="single" w:sz="4" w:space="0" w:color="1F497D" w:themeColor="text2"/>
              <w:bottom w:val="single" w:sz="4" w:space="0" w:color="1F497D" w:themeColor="text2"/>
            </w:tcBorders>
            <w:shd w:val="clear" w:color="auto" w:fill="DBE5F1" w:themeFill="accent1" w:themeFillTint="33"/>
          </w:tcPr>
          <w:p w:rsidR="00DB2624" w:rsidRDefault="00B52ED8" w:rsidP="00D97303">
            <w:pPr>
              <w:spacing w:before="120" w:after="120"/>
              <w:ind w:left="0" w:right="-1" w:firstLine="0"/>
              <w:jc w:val="left"/>
              <w:rPr>
                <w:rFonts w:ascii="Arial" w:hAnsi="Arial" w:cs="Arial"/>
                <w:lang w:val="es-ES"/>
              </w:rPr>
            </w:pPr>
            <w:r w:rsidRPr="00216CA1">
              <w:rPr>
                <w:rFonts w:ascii="Arial" w:hAnsi="Arial" w:cs="Arial"/>
                <w:sz w:val="20"/>
                <w:szCs w:val="20"/>
                <w:lang w:val="es-ES"/>
              </w:rPr>
              <w:t>Total acumulado superior a 600</w:t>
            </w:r>
            <w:r>
              <w:rPr>
                <w:rFonts w:ascii="Arial" w:hAnsi="Arial" w:cs="Arial"/>
                <w:sz w:val="20"/>
                <w:szCs w:val="20"/>
                <w:lang w:val="es-ES"/>
              </w:rPr>
              <w:t>.000</w:t>
            </w:r>
            <w:r w:rsidRPr="00216CA1">
              <w:rPr>
                <w:rFonts w:ascii="Arial" w:hAnsi="Arial" w:cs="Arial"/>
                <w:sz w:val="20"/>
                <w:szCs w:val="20"/>
                <w:lang w:val="es-ES"/>
              </w:rPr>
              <w:t>€</w:t>
            </w:r>
            <w:r>
              <w:rPr>
                <w:rFonts w:ascii="Arial" w:hAnsi="Arial" w:cs="Arial"/>
                <w:sz w:val="20"/>
                <w:szCs w:val="20"/>
                <w:lang w:val="es-ES"/>
              </w:rPr>
              <w:t>.</w:t>
            </w:r>
          </w:p>
        </w:tc>
        <w:tc>
          <w:tcPr>
            <w:tcW w:w="2977" w:type="dxa"/>
            <w:tcBorders>
              <w:top w:val="single" w:sz="4" w:space="0" w:color="1F497D" w:themeColor="text2"/>
              <w:bottom w:val="single" w:sz="4" w:space="0" w:color="1F497D" w:themeColor="text2"/>
            </w:tcBorders>
            <w:shd w:val="clear" w:color="auto" w:fill="DBE5F1" w:themeFill="accent1" w:themeFillTint="33"/>
          </w:tcPr>
          <w:p w:rsidR="00B52ED8" w:rsidRDefault="00B52ED8" w:rsidP="00D97303">
            <w:pPr>
              <w:pStyle w:val="Prrafodelista"/>
              <w:numPr>
                <w:ilvl w:val="0"/>
                <w:numId w:val="2"/>
              </w:numPr>
              <w:spacing w:before="120" w:after="120"/>
              <w:ind w:left="175" w:hanging="261"/>
              <w:jc w:val="left"/>
              <w:rPr>
                <w:rFonts w:ascii="Arial" w:hAnsi="Arial" w:cs="Arial"/>
                <w:sz w:val="20"/>
                <w:szCs w:val="20"/>
                <w:lang w:val="es-ES"/>
              </w:rPr>
            </w:pPr>
            <w:r w:rsidRPr="00216CA1">
              <w:rPr>
                <w:rFonts w:ascii="Arial" w:hAnsi="Arial" w:cs="Arial"/>
                <w:sz w:val="20"/>
                <w:szCs w:val="20"/>
                <w:lang w:val="es-ES"/>
              </w:rPr>
              <w:t>El ejercicio social en que reciba las subvenciones o ayudas</w:t>
            </w:r>
            <w:r>
              <w:rPr>
                <w:rFonts w:ascii="Arial" w:hAnsi="Arial" w:cs="Arial"/>
                <w:sz w:val="20"/>
                <w:szCs w:val="20"/>
                <w:lang w:val="es-ES"/>
              </w:rPr>
              <w:t>.</w:t>
            </w:r>
          </w:p>
          <w:p w:rsidR="00DB2624" w:rsidRDefault="00B52ED8" w:rsidP="00D97303">
            <w:pPr>
              <w:pStyle w:val="Prrafodelista"/>
              <w:numPr>
                <w:ilvl w:val="0"/>
                <w:numId w:val="2"/>
              </w:numPr>
              <w:spacing w:before="120" w:after="120"/>
              <w:ind w:left="175" w:hanging="261"/>
              <w:jc w:val="left"/>
              <w:rPr>
                <w:rFonts w:ascii="Arial" w:hAnsi="Arial" w:cs="Arial"/>
                <w:lang w:val="es-ES"/>
              </w:rPr>
            </w:pPr>
            <w:r>
              <w:rPr>
                <w:rFonts w:ascii="Arial" w:hAnsi="Arial" w:cs="Arial"/>
                <w:sz w:val="20"/>
                <w:szCs w:val="20"/>
                <w:lang w:val="es-ES"/>
              </w:rPr>
              <w:t xml:space="preserve">Los </w:t>
            </w:r>
            <w:r w:rsidRPr="00216CA1">
              <w:rPr>
                <w:rFonts w:ascii="Arial" w:hAnsi="Arial" w:cs="Arial"/>
                <w:sz w:val="20"/>
                <w:szCs w:val="20"/>
                <w:lang w:val="es-ES"/>
              </w:rPr>
              <w:t>ejercicios en que se realicen las operaciones o ejecuten las inversiones correspondientes</w:t>
            </w:r>
            <w:r>
              <w:rPr>
                <w:rFonts w:ascii="Arial" w:hAnsi="Arial" w:cs="Arial"/>
                <w:sz w:val="20"/>
                <w:szCs w:val="20"/>
                <w:lang w:val="es-ES"/>
              </w:rPr>
              <w:t>.</w:t>
            </w:r>
          </w:p>
        </w:tc>
      </w:tr>
      <w:tr w:rsidR="00DB2624" w:rsidTr="00D97303">
        <w:tc>
          <w:tcPr>
            <w:tcW w:w="2976" w:type="dxa"/>
            <w:tcBorders>
              <w:top w:val="single" w:sz="4" w:space="0" w:color="1F497D" w:themeColor="text2"/>
            </w:tcBorders>
            <w:shd w:val="clear" w:color="auto" w:fill="DBE5F1" w:themeFill="accent1" w:themeFillTint="33"/>
          </w:tcPr>
          <w:p w:rsidR="00DB2624" w:rsidRDefault="00D97303" w:rsidP="00D97303">
            <w:pPr>
              <w:spacing w:before="120" w:after="120"/>
              <w:ind w:left="0" w:right="-1" w:firstLine="0"/>
              <w:jc w:val="left"/>
              <w:rPr>
                <w:rFonts w:ascii="Arial" w:hAnsi="Arial" w:cs="Arial"/>
                <w:lang w:val="es-ES"/>
              </w:rPr>
            </w:pPr>
            <w:r>
              <w:rPr>
                <w:rFonts w:ascii="Arial" w:hAnsi="Arial" w:cs="Arial"/>
                <w:sz w:val="20"/>
                <w:szCs w:val="20"/>
                <w:lang w:val="es-ES"/>
              </w:rPr>
              <w:t xml:space="preserve">Haber celebrado con el Sector Público, durante  un ejercicio económico los </w:t>
            </w:r>
            <w:r w:rsidRPr="00216CA1">
              <w:rPr>
                <w:rFonts w:ascii="Arial" w:hAnsi="Arial" w:cs="Arial"/>
                <w:b/>
                <w:color w:val="1F497D" w:themeColor="text2"/>
                <w:sz w:val="20"/>
                <w:szCs w:val="20"/>
                <w:lang w:val="es-ES"/>
              </w:rPr>
              <w:t>contratos</w:t>
            </w:r>
            <w:r>
              <w:rPr>
                <w:rFonts w:ascii="Arial" w:hAnsi="Arial" w:cs="Arial"/>
                <w:sz w:val="20"/>
                <w:szCs w:val="20"/>
                <w:lang w:val="es-ES"/>
              </w:rPr>
              <w:t xml:space="preserve"> contemplados en el artículo 2 del texto refundido de la Ley de Contratos del Sector Público aprobado por Real Decreto Legislativo 3/2011, de 14 de noviembre.</w:t>
            </w:r>
          </w:p>
        </w:tc>
        <w:tc>
          <w:tcPr>
            <w:tcW w:w="2976" w:type="dxa"/>
            <w:tcBorders>
              <w:top w:val="single" w:sz="4" w:space="0" w:color="1F497D" w:themeColor="text2"/>
            </w:tcBorders>
            <w:shd w:val="clear" w:color="auto" w:fill="DBE5F1" w:themeFill="accent1" w:themeFillTint="33"/>
          </w:tcPr>
          <w:p w:rsidR="00DB2624" w:rsidRDefault="00D97303" w:rsidP="00D97303">
            <w:pPr>
              <w:spacing w:before="120" w:after="120"/>
              <w:ind w:left="0" w:right="-1" w:firstLine="0"/>
              <w:jc w:val="left"/>
              <w:rPr>
                <w:rFonts w:ascii="Arial" w:hAnsi="Arial" w:cs="Arial"/>
                <w:lang w:val="es-ES"/>
              </w:rPr>
            </w:pPr>
            <w:r>
              <w:rPr>
                <w:rFonts w:ascii="Arial" w:hAnsi="Arial" w:cs="Arial"/>
                <w:sz w:val="20"/>
                <w:szCs w:val="20"/>
                <w:lang w:val="es-ES"/>
              </w:rPr>
              <w:t xml:space="preserve">Total acumulado superior a </w:t>
            </w:r>
            <w:r w:rsidRPr="00216CA1">
              <w:rPr>
                <w:rFonts w:ascii="Arial" w:hAnsi="Arial" w:cs="Arial"/>
                <w:sz w:val="20"/>
                <w:szCs w:val="20"/>
                <w:lang w:val="es-ES"/>
              </w:rPr>
              <w:t>600</w:t>
            </w:r>
            <w:r>
              <w:rPr>
                <w:rFonts w:ascii="Arial" w:hAnsi="Arial" w:cs="Arial"/>
                <w:sz w:val="20"/>
                <w:szCs w:val="20"/>
                <w:lang w:val="es-ES"/>
              </w:rPr>
              <w:t>.000</w:t>
            </w:r>
            <w:r w:rsidRPr="00216CA1">
              <w:rPr>
                <w:rFonts w:ascii="Arial" w:hAnsi="Arial" w:cs="Arial"/>
                <w:sz w:val="20"/>
                <w:szCs w:val="20"/>
                <w:lang w:val="es-ES"/>
              </w:rPr>
              <w:t xml:space="preserve"> €</w:t>
            </w:r>
            <w:r>
              <w:rPr>
                <w:rFonts w:ascii="Arial" w:hAnsi="Arial" w:cs="Arial"/>
                <w:sz w:val="20"/>
                <w:szCs w:val="20"/>
                <w:lang w:val="es-ES"/>
              </w:rPr>
              <w:t xml:space="preserve"> y éste represente más del 50% del importe neto de su cifra anual de negocios.</w:t>
            </w:r>
          </w:p>
        </w:tc>
        <w:tc>
          <w:tcPr>
            <w:tcW w:w="2977" w:type="dxa"/>
            <w:tcBorders>
              <w:top w:val="single" w:sz="4" w:space="0" w:color="1F497D" w:themeColor="text2"/>
            </w:tcBorders>
            <w:shd w:val="clear" w:color="auto" w:fill="DBE5F1" w:themeFill="accent1" w:themeFillTint="33"/>
          </w:tcPr>
          <w:p w:rsidR="00D97303" w:rsidRDefault="00D97303" w:rsidP="00D97303">
            <w:pPr>
              <w:pStyle w:val="Prrafodelista"/>
              <w:numPr>
                <w:ilvl w:val="0"/>
                <w:numId w:val="2"/>
              </w:numPr>
              <w:spacing w:before="120" w:after="120"/>
              <w:ind w:left="175" w:hanging="261"/>
              <w:jc w:val="left"/>
              <w:rPr>
                <w:rFonts w:ascii="Arial" w:hAnsi="Arial" w:cs="Arial"/>
                <w:sz w:val="20"/>
                <w:szCs w:val="20"/>
                <w:lang w:val="es-ES"/>
              </w:rPr>
            </w:pPr>
            <w:r>
              <w:rPr>
                <w:rFonts w:ascii="Arial" w:hAnsi="Arial" w:cs="Arial"/>
                <w:sz w:val="20"/>
                <w:szCs w:val="20"/>
                <w:lang w:val="es-ES"/>
              </w:rPr>
              <w:t>El ejercicio social en el que haya celebrado los contratos.</w:t>
            </w:r>
          </w:p>
          <w:p w:rsidR="00DB2624" w:rsidRDefault="00D97303" w:rsidP="00D97303">
            <w:pPr>
              <w:pStyle w:val="Prrafodelista"/>
              <w:numPr>
                <w:ilvl w:val="0"/>
                <w:numId w:val="2"/>
              </w:numPr>
              <w:spacing w:before="120" w:after="120"/>
              <w:ind w:left="175" w:hanging="261"/>
              <w:jc w:val="left"/>
              <w:rPr>
                <w:rFonts w:ascii="Arial" w:hAnsi="Arial" w:cs="Arial"/>
                <w:lang w:val="es-ES"/>
              </w:rPr>
            </w:pPr>
            <w:r>
              <w:rPr>
                <w:rFonts w:ascii="Arial" w:hAnsi="Arial" w:cs="Arial"/>
                <w:sz w:val="20"/>
                <w:szCs w:val="20"/>
                <w:lang w:val="es-ES"/>
              </w:rPr>
              <w:t>El ejercicio social siguiente.</w:t>
            </w:r>
          </w:p>
        </w:tc>
      </w:tr>
    </w:tbl>
    <w:p w:rsidR="00DB2624" w:rsidRDefault="00DB2624"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r>
        <w:rPr>
          <w:rFonts w:ascii="Arial" w:hAnsi="Arial" w:cs="Arial"/>
          <w:lang w:val="es-ES"/>
        </w:rPr>
        <w:t xml:space="preserve">Dichas disposiciones indican además que: </w:t>
      </w:r>
    </w:p>
    <w:p w:rsidR="00692636" w:rsidRDefault="00692636" w:rsidP="00692636">
      <w:pPr>
        <w:pStyle w:val="Prrafodelista"/>
        <w:numPr>
          <w:ilvl w:val="0"/>
          <w:numId w:val="3"/>
        </w:numPr>
        <w:ind w:left="284" w:right="-1"/>
        <w:rPr>
          <w:rFonts w:ascii="Arial" w:hAnsi="Arial" w:cs="Arial"/>
          <w:lang w:val="es-ES"/>
        </w:rPr>
      </w:pPr>
      <w:r>
        <w:rPr>
          <w:rFonts w:ascii="Arial" w:hAnsi="Arial" w:cs="Arial"/>
          <w:lang w:val="es-ES"/>
        </w:rPr>
        <w:t>L</w:t>
      </w:r>
      <w:r w:rsidRPr="00B51BB0">
        <w:rPr>
          <w:rFonts w:ascii="Arial" w:hAnsi="Arial" w:cs="Arial"/>
          <w:lang w:val="es-ES"/>
        </w:rPr>
        <w:t>as subvenciones o ayudas se consideran recibidas “en el momento en que deban ser registradas en los libros de contabilidad de la empresa o entidad, conforme a lo establecido a este respecto en la normativa contable que resulte de aplicación”</w:t>
      </w:r>
      <w:r>
        <w:rPr>
          <w:rFonts w:ascii="Arial" w:hAnsi="Arial" w:cs="Arial"/>
          <w:lang w:val="es-ES"/>
        </w:rPr>
        <w:t>.</w:t>
      </w:r>
    </w:p>
    <w:p w:rsidR="00692636" w:rsidRPr="00B51BB0" w:rsidRDefault="00692636" w:rsidP="00692636">
      <w:pPr>
        <w:pStyle w:val="Prrafodelista"/>
        <w:numPr>
          <w:ilvl w:val="0"/>
          <w:numId w:val="3"/>
        </w:numPr>
        <w:ind w:left="284" w:right="-1"/>
        <w:rPr>
          <w:rFonts w:ascii="Arial" w:hAnsi="Arial" w:cs="Arial"/>
          <w:lang w:val="es-ES"/>
        </w:rPr>
      </w:pPr>
      <w:r>
        <w:rPr>
          <w:rFonts w:ascii="Arial" w:hAnsi="Arial" w:cs="Arial"/>
          <w:lang w:val="es-ES"/>
        </w:rPr>
        <w:t>Se consideraran realizadas las actuaciones de los contratos, “en el momento en que deba ser registrado el derecho de cobro correspondiente en los libros de contabilidad de la entidad, de acuerdo con lo dispuesto a este respecto en el marco de información financiera que resulte de aplicación”.</w:t>
      </w:r>
    </w:p>
    <w:p w:rsidR="00692636" w:rsidRDefault="00692636"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p>
    <w:p w:rsidR="00692636" w:rsidRPr="001D6452" w:rsidRDefault="00692636" w:rsidP="00692636">
      <w:pPr>
        <w:pStyle w:val="Prrafodelista"/>
        <w:numPr>
          <w:ilvl w:val="0"/>
          <w:numId w:val="6"/>
        </w:numPr>
        <w:pBdr>
          <w:bottom w:val="single" w:sz="4" w:space="1" w:color="1F497D" w:themeColor="text2"/>
        </w:pBdr>
        <w:ind w:right="-1" w:hanging="720"/>
        <w:rPr>
          <w:rFonts w:ascii="Arial" w:hAnsi="Arial" w:cs="Arial"/>
          <w:b/>
          <w:color w:val="1F497D" w:themeColor="text2"/>
          <w:lang w:val="es-ES"/>
        </w:rPr>
      </w:pPr>
      <w:r w:rsidRPr="001D6452">
        <w:rPr>
          <w:rFonts w:ascii="Arial" w:hAnsi="Arial" w:cs="Arial"/>
          <w:b/>
          <w:color w:val="1F497D" w:themeColor="text2"/>
          <w:lang w:val="es-ES"/>
        </w:rPr>
        <w:t>Superación de los límites reglamentarios</w:t>
      </w:r>
    </w:p>
    <w:p w:rsidR="00692636" w:rsidRDefault="00692636"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r>
        <w:rPr>
          <w:rFonts w:ascii="Arial" w:hAnsi="Arial" w:cs="Arial"/>
          <w:lang w:val="es-ES"/>
        </w:rPr>
        <w:t xml:space="preserve">El </w:t>
      </w:r>
      <w:r w:rsidRPr="008D157E">
        <w:rPr>
          <w:rFonts w:ascii="Arial" w:hAnsi="Arial" w:cs="Arial"/>
          <w:lang w:val="es-ES"/>
        </w:rPr>
        <w:t>apartado 1</w:t>
      </w:r>
      <w:r>
        <w:rPr>
          <w:rFonts w:ascii="Arial" w:hAnsi="Arial" w:cs="Arial"/>
          <w:lang w:val="es-ES"/>
        </w:rPr>
        <w:t>f</w:t>
      </w:r>
      <w:r w:rsidRPr="008D157E">
        <w:rPr>
          <w:rFonts w:ascii="Arial" w:hAnsi="Arial" w:cs="Arial"/>
          <w:lang w:val="es-ES"/>
        </w:rPr>
        <w:t>) de la Disposición adicional primera del TRLAC</w:t>
      </w:r>
      <w:r>
        <w:rPr>
          <w:rFonts w:ascii="Arial" w:hAnsi="Arial" w:cs="Arial"/>
          <w:lang w:val="es-ES"/>
        </w:rPr>
        <w:t xml:space="preserve"> es desarrollado por la Disposición adicional primera del RTRLAC indicando, sin perjuicio de lo establecido en otras disposiciones legales, que “las entidades, cualquiera que sea su naturaleza jurídica, y siempre que deban formular cuentas anuales conforme al marco normativo de información financiera que le sea aplicable, estarán obligadas a someter a auditoría, (….), las cuentas anuales de los ejercicios sociales en los que, de acuerdo con lo establecido en el artículo 257 del TRLSC, no concurran las circunstancias previstas para formular balance abreviado, debiendo hacerlo en el normal”.</w:t>
      </w:r>
    </w:p>
    <w:p w:rsidR="00692636" w:rsidRDefault="00692636" w:rsidP="00692636">
      <w:pPr>
        <w:ind w:left="0" w:firstLine="0"/>
        <w:rPr>
          <w:rFonts w:ascii="Arial" w:hAnsi="Arial" w:cs="Arial"/>
          <w:lang w:val="es-ES"/>
        </w:rPr>
      </w:pPr>
    </w:p>
    <w:p w:rsidR="00692636" w:rsidRDefault="00692636" w:rsidP="00692636">
      <w:pPr>
        <w:ind w:left="0" w:right="-1" w:firstLine="0"/>
        <w:rPr>
          <w:rFonts w:ascii="Arial" w:hAnsi="Arial" w:cs="Arial"/>
          <w:lang w:val="es-ES"/>
        </w:rPr>
      </w:pPr>
      <w:r w:rsidRPr="00B92680">
        <w:rPr>
          <w:rFonts w:ascii="Arial" w:hAnsi="Arial" w:cs="Arial"/>
          <w:lang w:val="es-ES"/>
        </w:rPr>
        <w:lastRenderedPageBreak/>
        <w:t>Los límites para la formulación de balance y estado de cambios en el patrimonio neto abreviados establecidos en el artículo 257 del TRLSC son los siguientes:</w:t>
      </w:r>
    </w:p>
    <w:p w:rsidR="00DB2624" w:rsidRDefault="00DB2624" w:rsidP="00692636">
      <w:pPr>
        <w:ind w:left="0" w:right="-1" w:firstLine="0"/>
        <w:rPr>
          <w:rFonts w:ascii="Arial" w:hAnsi="Arial" w:cs="Arial"/>
          <w:lang w:val="es-ES"/>
        </w:rPr>
      </w:pPr>
    </w:p>
    <w:p w:rsidR="00332916" w:rsidRDefault="00332916" w:rsidP="00692636">
      <w:pPr>
        <w:ind w:left="0" w:right="-1" w:firstLine="0"/>
        <w:rPr>
          <w:rFonts w:ascii="Arial" w:hAnsi="Arial" w:cs="Arial"/>
          <w:lang w:val="es-ES"/>
        </w:rPr>
      </w:pPr>
    </w:p>
    <w:tbl>
      <w:tblPr>
        <w:tblStyle w:val="Tablaconcuadrcu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tblPr>
      <w:tblGrid>
        <w:gridCol w:w="2976"/>
        <w:gridCol w:w="2976"/>
        <w:gridCol w:w="2977"/>
      </w:tblGrid>
      <w:tr w:rsidR="00332916" w:rsidTr="00C95604">
        <w:tc>
          <w:tcPr>
            <w:tcW w:w="2976" w:type="dxa"/>
            <w:tcBorders>
              <w:top w:val="single" w:sz="4" w:space="0" w:color="1F497D" w:themeColor="text2"/>
              <w:bottom w:val="single" w:sz="4" w:space="0" w:color="1F497D" w:themeColor="text2"/>
            </w:tcBorders>
          </w:tcPr>
          <w:p w:rsidR="00332916" w:rsidRDefault="00332916" w:rsidP="00BE5F80">
            <w:pPr>
              <w:spacing w:before="120"/>
              <w:ind w:left="0" w:firstLine="0"/>
              <w:jc w:val="center"/>
              <w:rPr>
                <w:rFonts w:ascii="Arial" w:hAnsi="Arial" w:cs="Arial"/>
                <w:lang w:val="es-ES"/>
              </w:rPr>
            </w:pPr>
            <w:r w:rsidRPr="00216CA1">
              <w:rPr>
                <w:rFonts w:ascii="Arial" w:hAnsi="Arial" w:cs="Arial"/>
                <w:b/>
                <w:color w:val="1F497D" w:themeColor="text2"/>
                <w:sz w:val="20"/>
                <w:szCs w:val="20"/>
                <w:lang w:val="es-ES"/>
              </w:rPr>
              <w:t>Concepto</w:t>
            </w:r>
            <w:r>
              <w:rPr>
                <w:rFonts w:ascii="Arial" w:hAnsi="Arial" w:cs="Arial"/>
                <w:b/>
                <w:color w:val="1F497D" w:themeColor="text2"/>
                <w:sz w:val="20"/>
                <w:szCs w:val="20"/>
                <w:lang w:val="es-ES"/>
              </w:rPr>
              <w:br/>
            </w:r>
          </w:p>
        </w:tc>
        <w:tc>
          <w:tcPr>
            <w:tcW w:w="2976" w:type="dxa"/>
            <w:tcBorders>
              <w:top w:val="single" w:sz="4" w:space="0" w:color="1F497D" w:themeColor="text2"/>
              <w:bottom w:val="single" w:sz="4" w:space="0" w:color="1F497D" w:themeColor="text2"/>
            </w:tcBorders>
          </w:tcPr>
          <w:p w:rsidR="00332916" w:rsidRDefault="00332916" w:rsidP="00BE5F80">
            <w:pPr>
              <w:spacing w:before="120"/>
              <w:ind w:left="0" w:firstLine="0"/>
              <w:jc w:val="center"/>
              <w:rPr>
                <w:rFonts w:ascii="Arial" w:hAnsi="Arial" w:cs="Arial"/>
                <w:lang w:val="es-ES"/>
              </w:rPr>
            </w:pPr>
          </w:p>
        </w:tc>
        <w:tc>
          <w:tcPr>
            <w:tcW w:w="2977" w:type="dxa"/>
            <w:tcBorders>
              <w:top w:val="single" w:sz="4" w:space="0" w:color="1F497D" w:themeColor="text2"/>
              <w:bottom w:val="single" w:sz="4" w:space="0" w:color="1F497D" w:themeColor="text2"/>
            </w:tcBorders>
          </w:tcPr>
          <w:p w:rsidR="00332916" w:rsidRDefault="00332916" w:rsidP="00BE5F80">
            <w:pPr>
              <w:spacing w:before="120"/>
              <w:ind w:left="0" w:firstLine="0"/>
              <w:jc w:val="center"/>
              <w:rPr>
                <w:rFonts w:ascii="Arial" w:hAnsi="Arial" w:cs="Arial"/>
                <w:lang w:val="es-ES"/>
              </w:rPr>
            </w:pPr>
            <w:r w:rsidRPr="00216CA1">
              <w:rPr>
                <w:rFonts w:ascii="Arial" w:hAnsi="Arial" w:cs="Arial"/>
                <w:b/>
                <w:color w:val="1F497D" w:themeColor="text2"/>
                <w:sz w:val="20"/>
                <w:szCs w:val="20"/>
                <w:lang w:val="es-ES"/>
              </w:rPr>
              <w:t>Cuentas anuales a auditar</w:t>
            </w:r>
          </w:p>
        </w:tc>
      </w:tr>
      <w:tr w:rsidR="0083198E" w:rsidTr="00D779A0">
        <w:tc>
          <w:tcPr>
            <w:tcW w:w="2976" w:type="dxa"/>
            <w:tcBorders>
              <w:top w:val="single" w:sz="4" w:space="0" w:color="1F497D" w:themeColor="text2"/>
              <w:bottom w:val="single" w:sz="4" w:space="0" w:color="1F497D" w:themeColor="text2"/>
            </w:tcBorders>
            <w:shd w:val="clear" w:color="auto" w:fill="DBE5F1" w:themeFill="accent1" w:themeFillTint="33"/>
          </w:tcPr>
          <w:p w:rsidR="0083198E" w:rsidRPr="00F4303D" w:rsidRDefault="00A33E14" w:rsidP="00A33E14">
            <w:pPr>
              <w:spacing w:before="120" w:after="120"/>
              <w:ind w:left="0" w:firstLine="0"/>
              <w:rPr>
                <w:rFonts w:ascii="Arial" w:hAnsi="Arial" w:cs="Arial"/>
                <w:sz w:val="20"/>
                <w:szCs w:val="20"/>
                <w:lang w:val="es-ES"/>
              </w:rPr>
            </w:pPr>
            <w:r>
              <w:rPr>
                <w:rFonts w:ascii="Arial" w:hAnsi="Arial" w:cs="Arial"/>
                <w:sz w:val="20"/>
                <w:szCs w:val="20"/>
                <w:lang w:val="es-ES"/>
              </w:rPr>
              <w:br/>
            </w:r>
            <w:r w:rsidR="0083198E" w:rsidRPr="00F4303D">
              <w:rPr>
                <w:rFonts w:ascii="Arial" w:hAnsi="Arial" w:cs="Arial"/>
                <w:sz w:val="20"/>
                <w:szCs w:val="20"/>
                <w:lang w:val="es-ES"/>
              </w:rPr>
              <w:t>Total de las partidas del activo</w:t>
            </w:r>
          </w:p>
          <w:p w:rsidR="0083198E" w:rsidRDefault="0083198E" w:rsidP="0083198E">
            <w:pPr>
              <w:spacing w:before="120" w:after="120"/>
              <w:ind w:left="0" w:firstLine="0"/>
              <w:jc w:val="left"/>
              <w:rPr>
                <w:rFonts w:ascii="Arial" w:hAnsi="Arial" w:cs="Arial"/>
                <w:lang w:val="es-ES"/>
              </w:rPr>
            </w:pPr>
          </w:p>
        </w:tc>
        <w:tc>
          <w:tcPr>
            <w:tcW w:w="2976" w:type="dxa"/>
            <w:tcBorders>
              <w:top w:val="single" w:sz="4" w:space="0" w:color="1F497D" w:themeColor="text2"/>
              <w:bottom w:val="single" w:sz="4" w:space="0" w:color="1F497D" w:themeColor="text2"/>
              <w:right w:val="single" w:sz="4" w:space="0" w:color="1F497D" w:themeColor="text2"/>
            </w:tcBorders>
            <w:shd w:val="clear" w:color="auto" w:fill="DBE5F1" w:themeFill="accent1" w:themeFillTint="33"/>
          </w:tcPr>
          <w:p w:rsidR="0083198E" w:rsidRPr="006839D9" w:rsidRDefault="0083198E" w:rsidP="0083198E">
            <w:pPr>
              <w:tabs>
                <w:tab w:val="decimal" w:pos="766"/>
              </w:tabs>
              <w:spacing w:before="120" w:after="120"/>
              <w:ind w:left="0" w:firstLine="0"/>
              <w:jc w:val="center"/>
              <w:rPr>
                <w:rFonts w:ascii="Arial" w:hAnsi="Arial" w:cs="Arial"/>
                <w:sz w:val="16"/>
                <w:szCs w:val="16"/>
                <w:lang w:val="es-ES"/>
              </w:rPr>
            </w:pPr>
          </w:p>
          <w:p w:rsidR="0083198E" w:rsidRPr="00F4303D" w:rsidRDefault="0083198E" w:rsidP="0083198E">
            <w:pPr>
              <w:tabs>
                <w:tab w:val="decimal" w:pos="766"/>
              </w:tabs>
              <w:spacing w:before="120" w:after="120"/>
              <w:ind w:left="0" w:firstLine="0"/>
              <w:jc w:val="center"/>
              <w:rPr>
                <w:rFonts w:ascii="Arial" w:hAnsi="Arial" w:cs="Arial"/>
                <w:sz w:val="20"/>
                <w:szCs w:val="20"/>
                <w:lang w:val="es-ES"/>
              </w:rPr>
            </w:pPr>
            <w:r w:rsidRPr="00F4303D">
              <w:rPr>
                <w:rFonts w:ascii="Arial" w:hAnsi="Arial" w:cs="Arial"/>
                <w:sz w:val="20"/>
                <w:szCs w:val="20"/>
                <w:lang w:val="es-ES"/>
              </w:rPr>
              <w:t>2.850</w:t>
            </w:r>
            <w:r>
              <w:rPr>
                <w:rFonts w:ascii="Arial" w:hAnsi="Arial" w:cs="Arial"/>
                <w:sz w:val="20"/>
                <w:szCs w:val="20"/>
                <w:lang w:val="es-ES"/>
              </w:rPr>
              <w:t>.000</w:t>
            </w:r>
            <w:r w:rsidRPr="00F4303D">
              <w:rPr>
                <w:rFonts w:ascii="Arial" w:hAnsi="Arial" w:cs="Arial"/>
                <w:sz w:val="20"/>
                <w:szCs w:val="20"/>
                <w:lang w:val="es-ES"/>
              </w:rPr>
              <w:t xml:space="preserve"> €</w:t>
            </w:r>
          </w:p>
          <w:p w:rsidR="0083198E" w:rsidRPr="00F4303D" w:rsidRDefault="0083198E" w:rsidP="0083198E">
            <w:pPr>
              <w:tabs>
                <w:tab w:val="decimal" w:pos="766"/>
              </w:tabs>
              <w:spacing w:before="120" w:after="120"/>
              <w:ind w:left="0" w:firstLine="0"/>
              <w:jc w:val="center"/>
              <w:rPr>
                <w:rFonts w:ascii="Arial" w:hAnsi="Arial" w:cs="Arial"/>
                <w:lang w:val="es-ES"/>
              </w:rPr>
            </w:pPr>
          </w:p>
        </w:tc>
        <w:tc>
          <w:tcPr>
            <w:tcW w:w="2977" w:type="dxa"/>
            <w:vMerge w:val="restart"/>
            <w:tcBorders>
              <w:top w:val="single" w:sz="4" w:space="0" w:color="1F497D" w:themeColor="text2"/>
              <w:left w:val="single" w:sz="4" w:space="0" w:color="1F497D" w:themeColor="text2"/>
            </w:tcBorders>
            <w:shd w:val="clear" w:color="auto" w:fill="DBE5F1" w:themeFill="accent1" w:themeFillTint="33"/>
          </w:tcPr>
          <w:p w:rsidR="0083198E" w:rsidRPr="00F4303D" w:rsidRDefault="0083198E" w:rsidP="0083198E">
            <w:pPr>
              <w:spacing w:before="120" w:after="120"/>
              <w:ind w:left="0" w:firstLine="0"/>
              <w:rPr>
                <w:rFonts w:ascii="Arial" w:hAnsi="Arial" w:cs="Arial"/>
                <w:sz w:val="20"/>
                <w:szCs w:val="20"/>
                <w:lang w:val="es-ES"/>
              </w:rPr>
            </w:pPr>
            <w:r w:rsidRPr="00F4303D">
              <w:rPr>
                <w:rFonts w:ascii="Arial" w:hAnsi="Arial" w:cs="Arial"/>
                <w:sz w:val="20"/>
                <w:szCs w:val="20"/>
                <w:lang w:val="es-ES"/>
              </w:rPr>
              <w:t xml:space="preserve">Con carácter general no deben superarse dos de dichos límites durante dos ejercicios consecutivos y a la fecha de cierre de cada  </w:t>
            </w:r>
            <w:r>
              <w:rPr>
                <w:rFonts w:ascii="Arial" w:hAnsi="Arial" w:cs="Arial"/>
                <w:sz w:val="20"/>
                <w:szCs w:val="20"/>
                <w:lang w:val="es-ES"/>
              </w:rPr>
              <w:t>uno de ellos</w:t>
            </w:r>
            <w:r w:rsidRPr="00F4303D">
              <w:rPr>
                <w:rFonts w:ascii="Arial" w:hAnsi="Arial" w:cs="Arial"/>
                <w:sz w:val="20"/>
                <w:szCs w:val="20"/>
                <w:lang w:val="es-ES"/>
              </w:rPr>
              <w:t xml:space="preserve">. </w:t>
            </w:r>
          </w:p>
          <w:p w:rsidR="0083198E" w:rsidRPr="00F4303D" w:rsidRDefault="0083198E" w:rsidP="0083198E">
            <w:pPr>
              <w:spacing w:before="120" w:after="120"/>
              <w:ind w:left="0" w:firstLine="0"/>
              <w:rPr>
                <w:rFonts w:ascii="Arial" w:hAnsi="Arial" w:cs="Arial"/>
                <w:sz w:val="20"/>
                <w:szCs w:val="20"/>
                <w:lang w:val="es-ES"/>
              </w:rPr>
            </w:pPr>
          </w:p>
          <w:p w:rsidR="0083198E" w:rsidRDefault="0083198E" w:rsidP="0083198E">
            <w:pPr>
              <w:spacing w:before="120" w:after="120"/>
              <w:ind w:left="0" w:firstLine="0"/>
              <w:rPr>
                <w:rFonts w:ascii="Arial" w:hAnsi="Arial" w:cs="Arial"/>
                <w:lang w:val="es-ES"/>
              </w:rPr>
            </w:pPr>
            <w:r w:rsidRPr="00F4303D">
              <w:rPr>
                <w:rFonts w:ascii="Arial" w:hAnsi="Arial" w:cs="Arial"/>
                <w:sz w:val="20"/>
                <w:szCs w:val="20"/>
                <w:lang w:val="es-ES"/>
              </w:rPr>
              <w:t>Si es el primer ejercicio de constitución, transformación o fusión de una sociedad, no pueden superarse dos de los límites al cierre de dicho ejercicio.</w:t>
            </w:r>
          </w:p>
        </w:tc>
      </w:tr>
      <w:tr w:rsidR="0083198E" w:rsidTr="00D779A0">
        <w:tc>
          <w:tcPr>
            <w:tcW w:w="2976" w:type="dxa"/>
            <w:tcBorders>
              <w:top w:val="single" w:sz="4" w:space="0" w:color="1F497D" w:themeColor="text2"/>
              <w:bottom w:val="single" w:sz="4" w:space="0" w:color="1F497D" w:themeColor="text2"/>
            </w:tcBorders>
            <w:shd w:val="clear" w:color="auto" w:fill="DBE5F1" w:themeFill="accent1" w:themeFillTint="33"/>
          </w:tcPr>
          <w:p w:rsidR="0083198E" w:rsidRDefault="0083198E" w:rsidP="0083198E">
            <w:pPr>
              <w:spacing w:before="120" w:after="120"/>
              <w:ind w:left="0" w:firstLine="0"/>
              <w:rPr>
                <w:rFonts w:ascii="Arial" w:hAnsi="Arial" w:cs="Arial"/>
                <w:lang w:val="es-ES"/>
              </w:rPr>
            </w:pPr>
            <w:r w:rsidRPr="00F4303D">
              <w:rPr>
                <w:rFonts w:ascii="Arial" w:hAnsi="Arial" w:cs="Arial"/>
                <w:sz w:val="20"/>
                <w:szCs w:val="20"/>
                <w:lang w:val="es-ES"/>
              </w:rPr>
              <w:t>Importe neto de su cifra anual de negocios</w:t>
            </w:r>
          </w:p>
        </w:tc>
        <w:tc>
          <w:tcPr>
            <w:tcW w:w="2976" w:type="dxa"/>
            <w:tcBorders>
              <w:top w:val="single" w:sz="4" w:space="0" w:color="1F497D" w:themeColor="text2"/>
              <w:bottom w:val="single" w:sz="4" w:space="0" w:color="1F497D" w:themeColor="text2"/>
              <w:right w:val="single" w:sz="4" w:space="0" w:color="1F497D" w:themeColor="text2"/>
            </w:tcBorders>
            <w:shd w:val="clear" w:color="auto" w:fill="DBE5F1" w:themeFill="accent1" w:themeFillTint="33"/>
          </w:tcPr>
          <w:p w:rsidR="0083198E" w:rsidRPr="00F4303D" w:rsidRDefault="0083198E" w:rsidP="0083198E">
            <w:pPr>
              <w:tabs>
                <w:tab w:val="decimal" w:pos="766"/>
              </w:tabs>
              <w:spacing w:before="120" w:after="120"/>
              <w:ind w:left="0" w:firstLine="0"/>
              <w:jc w:val="center"/>
              <w:rPr>
                <w:rFonts w:ascii="Arial" w:hAnsi="Arial" w:cs="Arial"/>
                <w:lang w:val="es-ES"/>
              </w:rPr>
            </w:pPr>
            <w:r w:rsidRPr="00F4303D">
              <w:rPr>
                <w:rFonts w:ascii="Arial" w:hAnsi="Arial" w:cs="Arial"/>
                <w:sz w:val="20"/>
                <w:szCs w:val="20"/>
                <w:lang w:val="es-ES"/>
              </w:rPr>
              <w:t>5.700</w:t>
            </w:r>
            <w:r>
              <w:rPr>
                <w:rFonts w:ascii="Arial" w:hAnsi="Arial" w:cs="Arial"/>
                <w:sz w:val="20"/>
                <w:szCs w:val="20"/>
                <w:lang w:val="es-ES"/>
              </w:rPr>
              <w:t>.000</w:t>
            </w:r>
            <w:r w:rsidRPr="00F4303D">
              <w:rPr>
                <w:rFonts w:ascii="Arial" w:hAnsi="Arial" w:cs="Arial"/>
                <w:sz w:val="20"/>
                <w:szCs w:val="20"/>
                <w:lang w:val="es-ES"/>
              </w:rPr>
              <w:t xml:space="preserve"> €</w:t>
            </w:r>
          </w:p>
        </w:tc>
        <w:tc>
          <w:tcPr>
            <w:tcW w:w="2977" w:type="dxa"/>
            <w:vMerge/>
            <w:tcBorders>
              <w:left w:val="single" w:sz="4" w:space="0" w:color="1F497D" w:themeColor="text2"/>
            </w:tcBorders>
            <w:shd w:val="clear" w:color="auto" w:fill="DBE5F1" w:themeFill="accent1" w:themeFillTint="33"/>
          </w:tcPr>
          <w:p w:rsidR="0083198E" w:rsidRDefault="0083198E" w:rsidP="00C95604">
            <w:pPr>
              <w:pStyle w:val="Prrafodelista"/>
              <w:spacing w:before="120" w:after="120"/>
              <w:ind w:left="175" w:firstLine="0"/>
              <w:jc w:val="left"/>
              <w:rPr>
                <w:rFonts w:ascii="Arial" w:hAnsi="Arial" w:cs="Arial"/>
                <w:lang w:val="es-ES"/>
              </w:rPr>
            </w:pPr>
          </w:p>
        </w:tc>
      </w:tr>
      <w:tr w:rsidR="0083198E" w:rsidTr="00D779A0">
        <w:tc>
          <w:tcPr>
            <w:tcW w:w="2976" w:type="dxa"/>
            <w:tcBorders>
              <w:top w:val="single" w:sz="4" w:space="0" w:color="1F497D" w:themeColor="text2"/>
            </w:tcBorders>
            <w:shd w:val="clear" w:color="auto" w:fill="DBE5F1" w:themeFill="accent1" w:themeFillTint="33"/>
          </w:tcPr>
          <w:p w:rsidR="0083198E" w:rsidRDefault="00A33E14" w:rsidP="0083198E">
            <w:pPr>
              <w:spacing w:before="120" w:after="120"/>
              <w:ind w:left="0" w:firstLine="0"/>
              <w:jc w:val="left"/>
              <w:rPr>
                <w:rFonts w:ascii="Arial" w:hAnsi="Arial" w:cs="Arial"/>
                <w:sz w:val="20"/>
                <w:szCs w:val="20"/>
                <w:lang w:val="es-ES"/>
              </w:rPr>
            </w:pPr>
            <w:r>
              <w:rPr>
                <w:rFonts w:ascii="Arial" w:hAnsi="Arial" w:cs="Arial"/>
                <w:sz w:val="20"/>
                <w:szCs w:val="20"/>
                <w:lang w:val="es-ES"/>
              </w:rPr>
              <w:br/>
            </w:r>
            <w:r w:rsidR="0083198E" w:rsidRPr="00F4303D">
              <w:rPr>
                <w:rFonts w:ascii="Arial" w:hAnsi="Arial" w:cs="Arial"/>
                <w:sz w:val="20"/>
                <w:szCs w:val="20"/>
                <w:lang w:val="es-ES"/>
              </w:rPr>
              <w:t>Número medio de trabajadores empleados durante el ejercicio</w:t>
            </w:r>
          </w:p>
        </w:tc>
        <w:tc>
          <w:tcPr>
            <w:tcW w:w="2976" w:type="dxa"/>
            <w:tcBorders>
              <w:top w:val="single" w:sz="4" w:space="0" w:color="1F497D" w:themeColor="text2"/>
              <w:right w:val="single" w:sz="4" w:space="0" w:color="1F497D" w:themeColor="text2"/>
            </w:tcBorders>
            <w:shd w:val="clear" w:color="auto" w:fill="DBE5F1" w:themeFill="accent1" w:themeFillTint="33"/>
          </w:tcPr>
          <w:p w:rsidR="0083198E" w:rsidRDefault="00A33E14" w:rsidP="0083198E">
            <w:pPr>
              <w:spacing w:before="120" w:after="120"/>
              <w:ind w:left="0" w:firstLine="0"/>
              <w:jc w:val="center"/>
              <w:rPr>
                <w:rFonts w:ascii="Arial" w:hAnsi="Arial" w:cs="Arial"/>
                <w:sz w:val="20"/>
                <w:szCs w:val="20"/>
                <w:lang w:val="es-ES"/>
              </w:rPr>
            </w:pPr>
            <w:r>
              <w:rPr>
                <w:rFonts w:ascii="Arial" w:hAnsi="Arial" w:cs="Arial"/>
                <w:sz w:val="20"/>
                <w:szCs w:val="20"/>
                <w:lang w:val="es-ES"/>
              </w:rPr>
              <w:br/>
            </w:r>
            <w:r w:rsidR="0083198E">
              <w:rPr>
                <w:rFonts w:ascii="Arial" w:hAnsi="Arial" w:cs="Arial"/>
                <w:sz w:val="20"/>
                <w:szCs w:val="20"/>
                <w:lang w:val="es-ES"/>
              </w:rPr>
              <w:t>50</w:t>
            </w:r>
          </w:p>
        </w:tc>
        <w:tc>
          <w:tcPr>
            <w:tcW w:w="2977" w:type="dxa"/>
            <w:vMerge/>
            <w:tcBorders>
              <w:left w:val="single" w:sz="4" w:space="0" w:color="1F497D" w:themeColor="text2"/>
              <w:bottom w:val="single" w:sz="4" w:space="0" w:color="1F497D" w:themeColor="text2"/>
            </w:tcBorders>
            <w:shd w:val="clear" w:color="auto" w:fill="DBE5F1" w:themeFill="accent1" w:themeFillTint="33"/>
          </w:tcPr>
          <w:p w:rsidR="0083198E" w:rsidRDefault="0083198E" w:rsidP="00C95604">
            <w:pPr>
              <w:pStyle w:val="Prrafodelista"/>
              <w:spacing w:before="120" w:after="120"/>
              <w:ind w:left="175" w:firstLine="0"/>
              <w:jc w:val="left"/>
              <w:rPr>
                <w:rFonts w:ascii="Arial" w:hAnsi="Arial" w:cs="Arial"/>
                <w:sz w:val="20"/>
                <w:szCs w:val="20"/>
                <w:lang w:val="es-ES"/>
              </w:rPr>
            </w:pPr>
          </w:p>
        </w:tc>
      </w:tr>
    </w:tbl>
    <w:p w:rsidR="00332916" w:rsidRDefault="00332916"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p>
    <w:p w:rsidR="00692636" w:rsidRPr="00F4303D" w:rsidRDefault="00692636" w:rsidP="00692636">
      <w:pPr>
        <w:ind w:left="0" w:right="-1" w:firstLine="0"/>
        <w:rPr>
          <w:rFonts w:ascii="Arial" w:hAnsi="Arial" w:cs="Arial"/>
          <w:lang w:val="es-ES"/>
        </w:rPr>
      </w:pPr>
      <w:r w:rsidRPr="00F4303D">
        <w:rPr>
          <w:rFonts w:ascii="Arial" w:hAnsi="Arial" w:cs="Arial"/>
          <w:lang w:val="es-ES"/>
        </w:rPr>
        <w:t>La facultad de formular balance abreviado se pierde para las sociedades que dejen de reunir durante dos ejercicios consecutivos, dos de las circunstancias a que se refiere el párrafo anterior</w:t>
      </w:r>
      <w:r>
        <w:rPr>
          <w:rFonts w:ascii="Arial" w:hAnsi="Arial" w:cs="Arial"/>
          <w:lang w:val="es-ES"/>
        </w:rPr>
        <w:t>.</w:t>
      </w:r>
    </w:p>
    <w:p w:rsidR="00692636" w:rsidRDefault="00692636" w:rsidP="00692636">
      <w:pPr>
        <w:ind w:left="0" w:right="-1" w:firstLine="0"/>
        <w:rPr>
          <w:rFonts w:ascii="Arial" w:hAnsi="Arial" w:cs="Arial"/>
          <w:highlight w:val="yellow"/>
          <w:lang w:val="es-ES"/>
        </w:rPr>
      </w:pPr>
    </w:p>
    <w:p w:rsidR="00692636" w:rsidRPr="00A61FD9" w:rsidRDefault="00692636" w:rsidP="00692636">
      <w:pPr>
        <w:pStyle w:val="Default"/>
        <w:spacing w:after="200" w:line="276" w:lineRule="auto"/>
        <w:jc w:val="both"/>
        <w:rPr>
          <w:rFonts w:ascii="Arial" w:hAnsi="Arial" w:cs="Arial"/>
          <w:color w:val="auto"/>
          <w:sz w:val="22"/>
          <w:szCs w:val="22"/>
        </w:rPr>
      </w:pPr>
      <w:r w:rsidRPr="00337336">
        <w:rPr>
          <w:rFonts w:ascii="Arial" w:hAnsi="Arial" w:cs="Arial"/>
          <w:color w:val="auto"/>
          <w:sz w:val="22"/>
          <w:szCs w:val="22"/>
          <w:lang w:eastAsia="en-US"/>
        </w:rPr>
        <w:t>Para interpretar la forma de c</w:t>
      </w:r>
      <w:r>
        <w:rPr>
          <w:rFonts w:ascii="Arial" w:hAnsi="Arial" w:cs="Arial"/>
          <w:color w:val="auto"/>
          <w:sz w:val="22"/>
          <w:szCs w:val="22"/>
          <w:lang w:eastAsia="en-US"/>
        </w:rPr>
        <w:t>ó</w:t>
      </w:r>
      <w:r w:rsidRPr="00337336">
        <w:rPr>
          <w:rFonts w:ascii="Arial" w:hAnsi="Arial" w:cs="Arial"/>
          <w:color w:val="auto"/>
          <w:sz w:val="22"/>
          <w:szCs w:val="22"/>
          <w:lang w:eastAsia="en-US"/>
        </w:rPr>
        <w:t>mputo de los ejercicios puede ser de utilidad la consulta 1 de contabilidad del BOICAC 69</w:t>
      </w:r>
      <w:r>
        <w:rPr>
          <w:rFonts w:ascii="Arial" w:hAnsi="Arial" w:cs="Arial"/>
          <w:color w:val="auto"/>
          <w:sz w:val="22"/>
          <w:szCs w:val="22"/>
          <w:lang w:eastAsia="en-US"/>
        </w:rPr>
        <w:t xml:space="preserve">, en la que </w:t>
      </w:r>
      <w:r w:rsidRPr="00622611">
        <w:rPr>
          <w:rFonts w:ascii="Arial" w:hAnsi="Arial" w:cs="Arial"/>
          <w:color w:val="auto"/>
          <w:sz w:val="22"/>
          <w:szCs w:val="22"/>
          <w:lang w:eastAsia="en-US"/>
        </w:rPr>
        <w:t>se plantea</w:t>
      </w:r>
      <w:r>
        <w:rPr>
          <w:rFonts w:ascii="Arial" w:hAnsi="Arial" w:cs="Arial"/>
          <w:color w:val="auto"/>
          <w:sz w:val="22"/>
          <w:szCs w:val="22"/>
          <w:lang w:eastAsia="en-US"/>
        </w:rPr>
        <w:t xml:space="preserve"> el supuesto de</w:t>
      </w:r>
      <w:r w:rsidRPr="00FC74C3">
        <w:rPr>
          <w:rFonts w:ascii="Arial" w:hAnsi="Arial" w:cs="Arial"/>
          <w:color w:val="auto"/>
          <w:sz w:val="22"/>
          <w:szCs w:val="22"/>
          <w:lang w:eastAsia="en-US"/>
        </w:rPr>
        <w:t xml:space="preserve"> una sociedad </w:t>
      </w:r>
      <w:r>
        <w:rPr>
          <w:rFonts w:ascii="Arial" w:hAnsi="Arial" w:cs="Arial"/>
          <w:color w:val="auto"/>
          <w:sz w:val="22"/>
          <w:szCs w:val="22"/>
          <w:lang w:eastAsia="en-US"/>
        </w:rPr>
        <w:t xml:space="preserve">que </w:t>
      </w:r>
      <w:r w:rsidRPr="00FC74C3">
        <w:rPr>
          <w:rFonts w:ascii="Arial" w:hAnsi="Arial" w:cs="Arial"/>
          <w:color w:val="auto"/>
          <w:sz w:val="22"/>
          <w:szCs w:val="22"/>
          <w:lang w:eastAsia="en-US"/>
        </w:rPr>
        <w:t>ha estado domiciliada en un país extranjero, formulando sus estados financieros conforme a los principios contables generalmente aceptados en dicho país y habiendo estado sometida a auditoría obligatoria. Durante el ejercicio 2006</w:t>
      </w:r>
      <w:r>
        <w:rPr>
          <w:rFonts w:ascii="Arial" w:hAnsi="Arial" w:cs="Arial"/>
          <w:color w:val="auto"/>
          <w:sz w:val="22"/>
          <w:szCs w:val="22"/>
          <w:lang w:eastAsia="en-US"/>
        </w:rPr>
        <w:t xml:space="preserve"> (referencia de la consulta pero sin impacto en el análisis a realizar)</w:t>
      </w:r>
      <w:r w:rsidRPr="00FC74C3">
        <w:rPr>
          <w:rFonts w:ascii="Arial" w:hAnsi="Arial" w:cs="Arial"/>
          <w:color w:val="auto"/>
          <w:sz w:val="22"/>
          <w:szCs w:val="22"/>
          <w:lang w:eastAsia="en-US"/>
        </w:rPr>
        <w:t>, esta sociedad ha trasladado su domicilio social a España</w:t>
      </w:r>
      <w:r>
        <w:rPr>
          <w:rFonts w:ascii="Arial" w:hAnsi="Arial" w:cs="Arial"/>
          <w:color w:val="auto"/>
          <w:sz w:val="22"/>
          <w:szCs w:val="22"/>
          <w:lang w:eastAsia="en-US"/>
        </w:rPr>
        <w:t>.</w:t>
      </w:r>
      <w:r w:rsidRPr="00FC74C3">
        <w:rPr>
          <w:rFonts w:ascii="Arial" w:hAnsi="Arial" w:cs="Arial"/>
          <w:color w:val="auto"/>
          <w:sz w:val="22"/>
          <w:szCs w:val="22"/>
          <w:lang w:eastAsia="en-US"/>
        </w:rPr>
        <w:t xml:space="preserve">  Entre otras cuestiones se pregunta sobre </w:t>
      </w:r>
      <w:r>
        <w:rPr>
          <w:rFonts w:ascii="Arial" w:hAnsi="Arial" w:cs="Arial"/>
          <w:color w:val="auto"/>
          <w:sz w:val="22"/>
          <w:szCs w:val="22"/>
          <w:lang w:eastAsia="en-US"/>
        </w:rPr>
        <w:t xml:space="preserve">cómo tratar </w:t>
      </w:r>
      <w:r w:rsidRPr="00FC74C3">
        <w:rPr>
          <w:rFonts w:ascii="Arial" w:hAnsi="Arial" w:cs="Arial"/>
          <w:color w:val="auto"/>
          <w:sz w:val="22"/>
          <w:szCs w:val="22"/>
          <w:lang w:eastAsia="en-US"/>
        </w:rPr>
        <w:t xml:space="preserve">el cómputo del período de dos años que determina la obligación de auditar sus cuentas anuales. </w:t>
      </w:r>
      <w:r>
        <w:rPr>
          <w:rFonts w:ascii="Arial" w:hAnsi="Arial" w:cs="Arial"/>
          <w:color w:val="auto"/>
          <w:sz w:val="22"/>
          <w:szCs w:val="22"/>
          <w:lang w:eastAsia="en-US"/>
        </w:rPr>
        <w:t xml:space="preserve">La repuesta del ICAC establece que, </w:t>
      </w:r>
      <w:r w:rsidRPr="00FC74C3">
        <w:rPr>
          <w:rFonts w:ascii="Arial" w:hAnsi="Arial" w:cs="Arial"/>
          <w:color w:val="auto"/>
          <w:sz w:val="22"/>
          <w:szCs w:val="22"/>
        </w:rPr>
        <w:t xml:space="preserve">por lo que se refiere a la cuestión relativa al cómputo de dos años que determinaría la obligación de auditar las cuentas anuales, en el supuesto de traslado de domicilio </w:t>
      </w:r>
      <w:r w:rsidRPr="00630F83">
        <w:rPr>
          <w:rFonts w:ascii="Arial" w:hAnsi="Arial" w:cs="Arial"/>
          <w:color w:val="auto"/>
          <w:sz w:val="22"/>
          <w:szCs w:val="22"/>
        </w:rPr>
        <w:t xml:space="preserve">social, teniendo en cuenta que no se trata de ninguno de los supuestos contenidos en el apartado 2 del artículo 181 del TRLSA  (actualmente del artículo 257 de la TRLSC) </w:t>
      </w:r>
      <w:r>
        <w:rPr>
          <w:rFonts w:ascii="Arial" w:hAnsi="Arial" w:cs="Arial"/>
          <w:color w:val="auto"/>
          <w:sz w:val="22"/>
          <w:szCs w:val="22"/>
        </w:rPr>
        <w:t>–</w:t>
      </w:r>
      <w:r w:rsidRPr="00630F83">
        <w:rPr>
          <w:rFonts w:ascii="Arial" w:hAnsi="Arial" w:cs="Arial"/>
          <w:color w:val="auto"/>
          <w:sz w:val="22"/>
          <w:szCs w:val="22"/>
        </w:rPr>
        <w:t>a saber, constitución, transformación o fusión</w:t>
      </w:r>
      <w:r>
        <w:rPr>
          <w:rFonts w:ascii="Arial" w:hAnsi="Arial" w:cs="Arial"/>
          <w:color w:val="auto"/>
          <w:sz w:val="22"/>
          <w:szCs w:val="22"/>
        </w:rPr>
        <w:t>–</w:t>
      </w:r>
      <w:r w:rsidRPr="00630F83">
        <w:rPr>
          <w:rFonts w:ascii="Arial" w:hAnsi="Arial" w:cs="Arial"/>
          <w:color w:val="auto"/>
          <w:sz w:val="22"/>
          <w:szCs w:val="22"/>
        </w:rPr>
        <w:t>, deberán tenerse en consideración</w:t>
      </w:r>
      <w:r w:rsidRPr="00FC74C3">
        <w:rPr>
          <w:rFonts w:ascii="Arial" w:hAnsi="Arial" w:cs="Arial"/>
          <w:color w:val="auto"/>
          <w:sz w:val="22"/>
          <w:szCs w:val="22"/>
        </w:rPr>
        <w:t xml:space="preserve"> las circunstancias existentes en los términos previstos en el apartado 1 del citado artículo, debiendo resaltarse que el cómputo de la cifra total de activo y de la cifra anual de negocios se realizará para el ejercicio previo de acuerdo con lo establecido en la normativa española.</w:t>
      </w:r>
    </w:p>
    <w:p w:rsidR="00692636" w:rsidRDefault="00692636" w:rsidP="00692636">
      <w:pPr>
        <w:spacing w:line="276" w:lineRule="auto"/>
        <w:ind w:left="0" w:firstLine="0"/>
        <w:rPr>
          <w:rFonts w:ascii="Arial" w:hAnsi="Arial" w:cs="Arial"/>
          <w:lang w:val="es-ES"/>
        </w:rPr>
      </w:pPr>
      <w:r>
        <w:rPr>
          <w:rFonts w:ascii="Arial" w:hAnsi="Arial" w:cs="Arial"/>
          <w:lang w:val="es-ES"/>
        </w:rPr>
        <w:t>En relación a otras disposiciones legales que regulan la obligación de someter a auditoría las cuentas anuales, sin ánimo de incluirlas todas, se detallan a continuación  las que se estiman más habituales:</w:t>
      </w:r>
    </w:p>
    <w:p w:rsidR="00692636" w:rsidRDefault="00692636" w:rsidP="00692636">
      <w:pPr>
        <w:ind w:left="0" w:right="-1" w:firstLine="0"/>
        <w:rPr>
          <w:rFonts w:ascii="Arial" w:hAnsi="Arial" w:cs="Arial"/>
          <w:lang w:val="es-ES"/>
        </w:rPr>
      </w:pPr>
    </w:p>
    <w:p w:rsidR="00DB2624" w:rsidRDefault="00DB2624" w:rsidP="00692636">
      <w:pPr>
        <w:ind w:left="0" w:right="-1" w:firstLine="0"/>
        <w:rPr>
          <w:rFonts w:ascii="Arial" w:hAnsi="Arial" w:cs="Arial"/>
          <w:lang w:val="es-ES"/>
        </w:rPr>
      </w:pPr>
    </w:p>
    <w:p w:rsidR="00A33E14" w:rsidRDefault="00A33E14" w:rsidP="00692636">
      <w:pPr>
        <w:ind w:left="0" w:right="-1" w:firstLine="0"/>
        <w:rPr>
          <w:rFonts w:ascii="Arial" w:hAnsi="Arial" w:cs="Arial"/>
          <w:lang w:val="es-ES"/>
        </w:rPr>
      </w:pPr>
    </w:p>
    <w:p w:rsidR="00DB2624" w:rsidRDefault="00DB2624" w:rsidP="00692636">
      <w:pPr>
        <w:ind w:left="0" w:right="-1" w:firstLine="0"/>
        <w:rPr>
          <w:rFonts w:ascii="Arial" w:hAnsi="Arial" w:cs="Arial"/>
          <w:lang w:val="es-ES"/>
        </w:rPr>
      </w:pPr>
    </w:p>
    <w:p w:rsidR="00DB2624" w:rsidRDefault="00DB2624" w:rsidP="00692636">
      <w:pPr>
        <w:ind w:left="0" w:right="-1" w:firstLine="0"/>
        <w:rPr>
          <w:rFonts w:ascii="Arial" w:hAnsi="Arial" w:cs="Arial"/>
          <w:lang w:val="es-ES"/>
        </w:rPr>
      </w:pPr>
    </w:p>
    <w:p w:rsidR="0083198E" w:rsidRDefault="0083198E" w:rsidP="00692636">
      <w:pPr>
        <w:ind w:left="0" w:right="-1" w:firstLine="0"/>
        <w:rPr>
          <w:rFonts w:ascii="Arial" w:hAnsi="Arial" w:cs="Arial"/>
          <w:lang w:val="es-ES"/>
        </w:rPr>
      </w:pPr>
    </w:p>
    <w:p w:rsidR="00692636" w:rsidRDefault="00692636" w:rsidP="00692636">
      <w:pPr>
        <w:ind w:left="0" w:right="-1" w:firstLine="0"/>
        <w:rPr>
          <w:rFonts w:ascii="Arial" w:hAnsi="Arial" w:cs="Arial"/>
          <w:lang w:val="es-ES"/>
        </w:rPr>
      </w:pPr>
    </w:p>
    <w:tbl>
      <w:tblPr>
        <w:tblStyle w:val="Tablaconcuadrcula"/>
        <w:tblW w:w="889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tblPr>
      <w:tblGrid>
        <w:gridCol w:w="2518"/>
        <w:gridCol w:w="3686"/>
        <w:gridCol w:w="2693"/>
      </w:tblGrid>
      <w:tr w:rsidR="0083198E" w:rsidTr="00647C84">
        <w:tc>
          <w:tcPr>
            <w:tcW w:w="2518" w:type="dxa"/>
            <w:tcBorders>
              <w:bottom w:val="single" w:sz="4" w:space="0" w:color="B8CCE4" w:themeColor="accent1" w:themeTint="66"/>
            </w:tcBorders>
          </w:tcPr>
          <w:p w:rsidR="0083198E" w:rsidRPr="00A33E14" w:rsidRDefault="0083198E" w:rsidP="00A33E14">
            <w:pPr>
              <w:spacing w:before="120"/>
              <w:ind w:left="0" w:firstLine="0"/>
              <w:jc w:val="center"/>
              <w:rPr>
                <w:rFonts w:ascii="Arial" w:hAnsi="Arial" w:cs="Arial"/>
                <w:b/>
                <w:color w:val="1F497D" w:themeColor="text2"/>
                <w:sz w:val="20"/>
                <w:szCs w:val="20"/>
                <w:lang w:val="es-ES"/>
              </w:rPr>
            </w:pPr>
            <w:r w:rsidRPr="005973DE">
              <w:rPr>
                <w:rFonts w:ascii="Arial" w:hAnsi="Arial" w:cs="Arial"/>
                <w:b/>
                <w:color w:val="1F497D" w:themeColor="text2"/>
                <w:sz w:val="20"/>
                <w:szCs w:val="20"/>
                <w:lang w:val="es-ES"/>
              </w:rPr>
              <w:t>Tipo de entidad</w:t>
            </w:r>
          </w:p>
        </w:tc>
        <w:tc>
          <w:tcPr>
            <w:tcW w:w="3686" w:type="dxa"/>
            <w:tcBorders>
              <w:bottom w:val="single" w:sz="4" w:space="0" w:color="B8CCE4" w:themeColor="accent1" w:themeTint="66"/>
            </w:tcBorders>
          </w:tcPr>
          <w:p w:rsidR="0083198E" w:rsidRPr="00A33E14" w:rsidRDefault="0083198E" w:rsidP="00A33E14">
            <w:pPr>
              <w:spacing w:before="120"/>
              <w:ind w:left="0" w:firstLine="0"/>
              <w:jc w:val="center"/>
              <w:rPr>
                <w:rFonts w:ascii="Arial" w:hAnsi="Arial" w:cs="Arial"/>
                <w:b/>
                <w:color w:val="1F497D" w:themeColor="text2"/>
                <w:sz w:val="20"/>
                <w:szCs w:val="20"/>
                <w:lang w:val="es-ES"/>
              </w:rPr>
            </w:pPr>
            <w:r w:rsidRPr="000D6FC9">
              <w:rPr>
                <w:rFonts w:ascii="Arial" w:hAnsi="Arial" w:cs="Arial"/>
                <w:b/>
                <w:color w:val="1F497D" w:themeColor="text2"/>
                <w:sz w:val="20"/>
                <w:szCs w:val="20"/>
                <w:lang w:val="es-ES"/>
              </w:rPr>
              <w:t>Ref. normativa</w:t>
            </w:r>
          </w:p>
        </w:tc>
        <w:tc>
          <w:tcPr>
            <w:tcW w:w="2693" w:type="dxa"/>
            <w:tcBorders>
              <w:bottom w:val="single" w:sz="4" w:space="0" w:color="B8CCE4" w:themeColor="accent1" w:themeTint="66"/>
            </w:tcBorders>
          </w:tcPr>
          <w:p w:rsidR="0083198E" w:rsidRPr="00A33E14" w:rsidRDefault="0083198E" w:rsidP="00A33E14">
            <w:pPr>
              <w:spacing w:before="120"/>
              <w:ind w:left="0" w:firstLine="0"/>
              <w:jc w:val="center"/>
              <w:rPr>
                <w:rFonts w:ascii="Arial" w:hAnsi="Arial" w:cs="Arial"/>
                <w:b/>
                <w:color w:val="1F497D" w:themeColor="text2"/>
                <w:sz w:val="20"/>
                <w:szCs w:val="20"/>
                <w:lang w:val="es-ES"/>
              </w:rPr>
            </w:pPr>
            <w:r w:rsidRPr="005973DE">
              <w:rPr>
                <w:rFonts w:ascii="Arial" w:hAnsi="Arial" w:cs="Arial"/>
                <w:b/>
                <w:color w:val="1F497D" w:themeColor="text2"/>
                <w:sz w:val="20"/>
                <w:szCs w:val="20"/>
                <w:lang w:val="es-ES"/>
              </w:rPr>
              <w:t>Límites</w:t>
            </w:r>
            <w:r>
              <w:rPr>
                <w:rFonts w:ascii="Arial" w:hAnsi="Arial" w:cs="Arial"/>
                <w:b/>
                <w:color w:val="1F497D" w:themeColor="text2"/>
                <w:sz w:val="20"/>
                <w:szCs w:val="20"/>
                <w:lang w:val="es-ES"/>
              </w:rPr>
              <w:t>¹</w:t>
            </w:r>
          </w:p>
        </w:tc>
      </w:tr>
      <w:tr w:rsidR="004510AA" w:rsidTr="00647C84">
        <w:tc>
          <w:tcPr>
            <w:tcW w:w="8897" w:type="dxa"/>
            <w:gridSpan w:val="3"/>
            <w:shd w:val="clear" w:color="auto" w:fill="DBE5F1" w:themeFill="accent1" w:themeFillTint="33"/>
          </w:tcPr>
          <w:p w:rsidR="004510AA" w:rsidRPr="009F0997" w:rsidRDefault="004510AA" w:rsidP="00647C84">
            <w:pPr>
              <w:spacing w:before="120" w:after="120"/>
              <w:ind w:left="142" w:hanging="142"/>
              <w:rPr>
                <w:rFonts w:ascii="Arial" w:hAnsi="Arial" w:cs="Arial"/>
                <w:b/>
                <w:color w:val="1F497D" w:themeColor="text2"/>
                <w:lang w:val="es-ES"/>
              </w:rPr>
            </w:pPr>
            <w:r w:rsidRPr="009F0997">
              <w:rPr>
                <w:rFonts w:ascii="Arial" w:hAnsi="Arial" w:cs="Arial"/>
                <w:b/>
                <w:color w:val="1F497D" w:themeColor="text2"/>
                <w:sz w:val="20"/>
                <w:szCs w:val="20"/>
                <w:lang w:val="es-ES"/>
              </w:rPr>
              <w:t>Asociaciones declaradas de utilidad pública</w:t>
            </w:r>
          </w:p>
        </w:tc>
      </w:tr>
      <w:tr w:rsidR="004510AA" w:rsidTr="00647C84">
        <w:tc>
          <w:tcPr>
            <w:tcW w:w="2518" w:type="dxa"/>
            <w:tcBorders>
              <w:bottom w:val="single" w:sz="4" w:space="0" w:color="B8CCE4" w:themeColor="accent1" w:themeTint="66"/>
            </w:tcBorders>
          </w:tcPr>
          <w:p w:rsidR="004510AA" w:rsidRDefault="004510AA" w:rsidP="004A4748">
            <w:pPr>
              <w:spacing w:before="120" w:after="120"/>
              <w:ind w:left="0" w:firstLine="0"/>
              <w:rPr>
                <w:rFonts w:ascii="Arial" w:hAnsi="Arial" w:cs="Arial"/>
                <w:lang w:val="es-ES"/>
              </w:rPr>
            </w:pPr>
            <w:r w:rsidRPr="005973DE">
              <w:rPr>
                <w:rFonts w:ascii="Arial" w:hAnsi="Arial" w:cs="Arial"/>
                <w:sz w:val="20"/>
                <w:szCs w:val="20"/>
                <w:lang w:val="es-ES"/>
              </w:rPr>
              <w:t>De ámbito estatal</w:t>
            </w:r>
          </w:p>
        </w:tc>
        <w:tc>
          <w:tcPr>
            <w:tcW w:w="3686" w:type="dxa"/>
            <w:tcBorders>
              <w:bottom w:val="single" w:sz="4" w:space="0" w:color="B8CCE4" w:themeColor="accent1" w:themeTint="66"/>
            </w:tcBorders>
            <w:vAlign w:val="center"/>
          </w:tcPr>
          <w:p w:rsidR="004510AA" w:rsidRPr="00D57DEB" w:rsidRDefault="004510AA" w:rsidP="00647C84">
            <w:pPr>
              <w:autoSpaceDE w:val="0"/>
              <w:autoSpaceDN w:val="0"/>
              <w:adjustRightInd w:val="0"/>
              <w:spacing w:before="120" w:after="120"/>
              <w:ind w:left="0" w:firstLine="0"/>
              <w:jc w:val="left"/>
              <w:rPr>
                <w:rFonts w:ascii="Arial" w:hAnsi="Arial" w:cs="Arial"/>
                <w:sz w:val="20"/>
                <w:szCs w:val="20"/>
                <w:lang w:val="es-ES"/>
              </w:rPr>
            </w:pPr>
            <w:r w:rsidRPr="00D57DEB">
              <w:rPr>
                <w:rFonts w:ascii="Arial" w:hAnsi="Arial" w:cs="Arial"/>
                <w:sz w:val="20"/>
                <w:szCs w:val="20"/>
                <w:lang w:val="es-ES"/>
              </w:rPr>
              <w:t xml:space="preserve">Art. 5 </w:t>
            </w:r>
            <w:r w:rsidRPr="00D57DEB">
              <w:rPr>
                <w:rFonts w:ascii="Arial" w:hAnsi="Arial" w:cs="Arial"/>
                <w:color w:val="292526"/>
                <w:sz w:val="20"/>
                <w:szCs w:val="20"/>
                <w:lang w:val="es-ES"/>
              </w:rPr>
              <w:t xml:space="preserve">Real </w:t>
            </w:r>
            <w:r>
              <w:rPr>
                <w:rFonts w:ascii="Arial" w:hAnsi="Arial" w:cs="Arial"/>
                <w:color w:val="292526"/>
                <w:sz w:val="20"/>
                <w:szCs w:val="20"/>
                <w:lang w:val="es-ES"/>
              </w:rPr>
              <w:t>D</w:t>
            </w:r>
            <w:r w:rsidRPr="00D57DEB">
              <w:rPr>
                <w:rFonts w:ascii="Arial" w:hAnsi="Arial" w:cs="Arial"/>
                <w:color w:val="292526"/>
                <w:sz w:val="20"/>
                <w:szCs w:val="20"/>
                <w:lang w:val="es-ES"/>
              </w:rPr>
              <w:t>ecreto 1740/2003, de 19 de</w:t>
            </w:r>
            <w:r>
              <w:rPr>
                <w:rFonts w:ascii="Arial" w:hAnsi="Arial" w:cs="Arial"/>
                <w:color w:val="292526"/>
                <w:sz w:val="20"/>
                <w:szCs w:val="20"/>
                <w:lang w:val="es-ES"/>
              </w:rPr>
              <w:t xml:space="preserve"> diciembre, sobre  p</w:t>
            </w:r>
            <w:r w:rsidRPr="00D57DEB">
              <w:rPr>
                <w:rFonts w:ascii="Arial" w:hAnsi="Arial" w:cs="Arial"/>
                <w:color w:val="292526"/>
                <w:sz w:val="20"/>
                <w:szCs w:val="20"/>
                <w:lang w:val="es-ES"/>
              </w:rPr>
              <w:t>rocedimientos relativos a</w:t>
            </w:r>
            <w:r>
              <w:rPr>
                <w:rFonts w:ascii="Arial" w:hAnsi="Arial" w:cs="Arial"/>
                <w:color w:val="292526"/>
                <w:sz w:val="20"/>
                <w:szCs w:val="20"/>
                <w:lang w:val="es-ES"/>
              </w:rPr>
              <w:t xml:space="preserve"> </w:t>
            </w:r>
            <w:r w:rsidRPr="00D57DEB">
              <w:rPr>
                <w:rFonts w:ascii="Arial" w:hAnsi="Arial" w:cs="Arial"/>
                <w:color w:val="292526"/>
                <w:sz w:val="20"/>
                <w:szCs w:val="20"/>
                <w:lang w:val="es-ES"/>
              </w:rPr>
              <w:t>asociaciones de utilidad pública</w:t>
            </w:r>
            <w:r>
              <w:rPr>
                <w:rFonts w:ascii="Arial" w:hAnsi="Arial" w:cs="Arial"/>
                <w:color w:val="292526"/>
                <w:sz w:val="20"/>
                <w:szCs w:val="20"/>
                <w:lang w:val="es-ES"/>
              </w:rPr>
              <w:t>²</w:t>
            </w:r>
          </w:p>
        </w:tc>
        <w:tc>
          <w:tcPr>
            <w:tcW w:w="2693" w:type="dxa"/>
            <w:tcBorders>
              <w:bottom w:val="single" w:sz="4" w:space="0" w:color="B8CCE4" w:themeColor="accent1" w:themeTint="66"/>
            </w:tcBorders>
          </w:tcPr>
          <w:p w:rsidR="004510AA" w:rsidRPr="005973DE" w:rsidRDefault="004510AA" w:rsidP="004510AA">
            <w:pPr>
              <w:pStyle w:val="Prrafodelista"/>
              <w:numPr>
                <w:ilvl w:val="0"/>
                <w:numId w:val="8"/>
              </w:numPr>
              <w:spacing w:before="120" w:after="120"/>
              <w:ind w:left="204" w:right="-1" w:hanging="265"/>
              <w:rPr>
                <w:rFonts w:ascii="Arial" w:hAnsi="Arial" w:cs="Arial"/>
                <w:sz w:val="20"/>
                <w:szCs w:val="20"/>
                <w:lang w:val="es-ES"/>
              </w:rPr>
            </w:pPr>
            <w:r>
              <w:rPr>
                <w:rFonts w:ascii="Arial" w:hAnsi="Arial" w:cs="Arial"/>
                <w:sz w:val="20"/>
                <w:szCs w:val="20"/>
                <w:lang w:val="es-ES"/>
              </w:rPr>
              <w:t xml:space="preserve">Activo &gt; 2.850.000 </w:t>
            </w:r>
            <w:r w:rsidRPr="005973DE">
              <w:rPr>
                <w:rFonts w:ascii="Arial" w:hAnsi="Arial" w:cs="Arial"/>
                <w:sz w:val="20"/>
                <w:szCs w:val="20"/>
                <w:lang w:val="es-ES"/>
              </w:rPr>
              <w:t>€</w:t>
            </w:r>
          </w:p>
          <w:p w:rsidR="004510AA" w:rsidRDefault="004510AA" w:rsidP="004510AA">
            <w:pPr>
              <w:pStyle w:val="Prrafodelista"/>
              <w:numPr>
                <w:ilvl w:val="0"/>
                <w:numId w:val="8"/>
              </w:numPr>
              <w:spacing w:before="120" w:after="120"/>
              <w:ind w:left="204" w:right="-1" w:hanging="265"/>
              <w:rPr>
                <w:rFonts w:ascii="Arial" w:hAnsi="Arial" w:cs="Arial"/>
                <w:sz w:val="20"/>
                <w:szCs w:val="20"/>
                <w:lang w:val="es-ES"/>
              </w:rPr>
            </w:pPr>
            <w:r w:rsidRPr="005973DE">
              <w:rPr>
                <w:rFonts w:ascii="Arial" w:hAnsi="Arial" w:cs="Arial"/>
                <w:sz w:val="20"/>
                <w:szCs w:val="20"/>
                <w:lang w:val="es-ES"/>
              </w:rPr>
              <w:t>Ingr</w:t>
            </w:r>
            <w:r>
              <w:rPr>
                <w:rFonts w:ascii="Arial" w:hAnsi="Arial" w:cs="Arial"/>
                <w:sz w:val="20"/>
                <w:szCs w:val="20"/>
                <w:lang w:val="es-ES"/>
              </w:rPr>
              <w:t xml:space="preserve">esos &gt; 5.700.000 </w:t>
            </w:r>
            <w:r w:rsidRPr="005973DE">
              <w:rPr>
                <w:rFonts w:ascii="Arial" w:hAnsi="Arial" w:cs="Arial"/>
                <w:sz w:val="20"/>
                <w:szCs w:val="20"/>
                <w:lang w:val="es-ES"/>
              </w:rPr>
              <w:t>€</w:t>
            </w:r>
          </w:p>
          <w:p w:rsidR="004510AA" w:rsidRPr="00D57DEB" w:rsidRDefault="004510AA" w:rsidP="004510AA">
            <w:pPr>
              <w:pStyle w:val="Prrafodelista"/>
              <w:numPr>
                <w:ilvl w:val="0"/>
                <w:numId w:val="8"/>
              </w:numPr>
              <w:spacing w:before="120" w:after="120"/>
              <w:ind w:left="204" w:right="-1" w:hanging="265"/>
              <w:rPr>
                <w:rFonts w:ascii="Arial" w:hAnsi="Arial" w:cs="Arial"/>
                <w:sz w:val="20"/>
                <w:szCs w:val="20"/>
                <w:lang w:val="es-ES"/>
              </w:rPr>
            </w:pPr>
            <w:r>
              <w:rPr>
                <w:rFonts w:ascii="Arial" w:hAnsi="Arial" w:cs="Arial"/>
                <w:sz w:val="20"/>
                <w:szCs w:val="20"/>
                <w:lang w:val="es-ES"/>
              </w:rPr>
              <w:t>P</w:t>
            </w:r>
            <w:r w:rsidRPr="005973DE">
              <w:rPr>
                <w:rFonts w:ascii="Arial" w:hAnsi="Arial" w:cs="Arial"/>
                <w:sz w:val="20"/>
                <w:szCs w:val="20"/>
                <w:lang w:val="es-ES"/>
              </w:rPr>
              <w:t>lantilla media &gt; 50</w:t>
            </w:r>
          </w:p>
        </w:tc>
      </w:tr>
      <w:tr w:rsidR="004510AA" w:rsidTr="00647C84">
        <w:tc>
          <w:tcPr>
            <w:tcW w:w="8897" w:type="dxa"/>
            <w:gridSpan w:val="3"/>
            <w:shd w:val="clear" w:color="auto" w:fill="DBE5F1" w:themeFill="accent1" w:themeFillTint="33"/>
          </w:tcPr>
          <w:p w:rsidR="004510AA" w:rsidRDefault="00647C84" w:rsidP="00647C84">
            <w:pPr>
              <w:spacing w:before="120" w:after="120"/>
              <w:ind w:left="0" w:firstLine="0"/>
              <w:jc w:val="left"/>
              <w:rPr>
                <w:rFonts w:ascii="Arial" w:hAnsi="Arial" w:cs="Arial"/>
                <w:lang w:val="es-ES"/>
              </w:rPr>
            </w:pPr>
            <w:r w:rsidRPr="009F0997">
              <w:rPr>
                <w:rFonts w:ascii="Arial" w:hAnsi="Arial" w:cs="Arial"/>
                <w:b/>
                <w:color w:val="1F497D" w:themeColor="text2"/>
                <w:sz w:val="20"/>
                <w:szCs w:val="20"/>
                <w:lang w:val="es-ES"/>
              </w:rPr>
              <w:t>Fundaciones</w:t>
            </w:r>
          </w:p>
        </w:tc>
      </w:tr>
      <w:tr w:rsidR="004510AA" w:rsidTr="00647C84">
        <w:tc>
          <w:tcPr>
            <w:tcW w:w="2518" w:type="dxa"/>
            <w:tcBorders>
              <w:bottom w:val="single" w:sz="4" w:space="0" w:color="B8CCE4" w:themeColor="accent1" w:themeTint="66"/>
            </w:tcBorders>
          </w:tcPr>
          <w:p w:rsidR="004510AA" w:rsidRDefault="00647C84" w:rsidP="004A4748">
            <w:pPr>
              <w:spacing w:before="120" w:after="120"/>
              <w:ind w:left="0" w:firstLine="0"/>
              <w:rPr>
                <w:rFonts w:ascii="Arial" w:hAnsi="Arial" w:cs="Arial"/>
                <w:lang w:val="es-ES"/>
              </w:rPr>
            </w:pPr>
            <w:r>
              <w:rPr>
                <w:rFonts w:ascii="Arial" w:hAnsi="Arial" w:cs="Arial"/>
                <w:lang w:val="es-ES"/>
              </w:rPr>
              <w:t>De ámbito estatal</w:t>
            </w:r>
          </w:p>
        </w:tc>
        <w:tc>
          <w:tcPr>
            <w:tcW w:w="3686" w:type="dxa"/>
            <w:tcBorders>
              <w:bottom w:val="single" w:sz="4" w:space="0" w:color="B8CCE4" w:themeColor="accent1" w:themeTint="66"/>
            </w:tcBorders>
          </w:tcPr>
          <w:p w:rsidR="004510AA" w:rsidRDefault="00647C84" w:rsidP="00647C84">
            <w:pPr>
              <w:spacing w:before="120" w:after="120"/>
              <w:ind w:left="0" w:firstLine="0"/>
              <w:jc w:val="left"/>
              <w:rPr>
                <w:rFonts w:ascii="Arial" w:hAnsi="Arial" w:cs="Arial"/>
                <w:lang w:val="es-ES"/>
              </w:rPr>
            </w:pPr>
            <w:r w:rsidRPr="000D6FC9">
              <w:rPr>
                <w:rFonts w:ascii="Arial" w:hAnsi="Arial" w:cs="Arial"/>
                <w:sz w:val="20"/>
                <w:szCs w:val="20"/>
                <w:lang w:val="es-ES"/>
              </w:rPr>
              <w:t>Art. 25 Ley 50/2002, de 26 de diciembre, de Fundaciones</w:t>
            </w:r>
            <w:r>
              <w:rPr>
                <w:rFonts w:ascii="Arial" w:hAnsi="Arial" w:cs="Arial"/>
                <w:sz w:val="20"/>
                <w:szCs w:val="20"/>
                <w:lang w:val="es-ES"/>
              </w:rPr>
              <w:t>.</w:t>
            </w:r>
          </w:p>
        </w:tc>
        <w:tc>
          <w:tcPr>
            <w:tcW w:w="2693" w:type="dxa"/>
            <w:tcBorders>
              <w:bottom w:val="single" w:sz="4" w:space="0" w:color="B8CCE4" w:themeColor="accent1" w:themeTint="66"/>
            </w:tcBorders>
          </w:tcPr>
          <w:p w:rsidR="00647C84" w:rsidRPr="000D6FC9" w:rsidRDefault="00647C84" w:rsidP="00647C84">
            <w:pPr>
              <w:pStyle w:val="Prrafodelista"/>
              <w:numPr>
                <w:ilvl w:val="0"/>
                <w:numId w:val="7"/>
              </w:numPr>
              <w:spacing w:before="120" w:after="120"/>
              <w:ind w:left="204" w:hanging="204"/>
              <w:rPr>
                <w:rFonts w:ascii="Arial" w:hAnsi="Arial" w:cs="Arial"/>
                <w:sz w:val="20"/>
                <w:szCs w:val="20"/>
                <w:lang w:val="es-ES"/>
              </w:rPr>
            </w:pPr>
            <w:r w:rsidRPr="000D6FC9">
              <w:rPr>
                <w:rFonts w:ascii="Arial" w:hAnsi="Arial" w:cs="Arial"/>
                <w:sz w:val="20"/>
                <w:szCs w:val="20"/>
                <w:lang w:val="es-ES"/>
              </w:rPr>
              <w:t>Activo &gt; 2</w:t>
            </w:r>
            <w:r>
              <w:rPr>
                <w:rFonts w:ascii="Arial" w:hAnsi="Arial" w:cs="Arial"/>
                <w:sz w:val="20"/>
                <w:szCs w:val="20"/>
                <w:lang w:val="es-ES"/>
              </w:rPr>
              <w:t>.</w:t>
            </w:r>
            <w:r w:rsidRPr="000D6FC9">
              <w:rPr>
                <w:rFonts w:ascii="Arial" w:hAnsi="Arial" w:cs="Arial"/>
                <w:sz w:val="20"/>
                <w:szCs w:val="20"/>
                <w:lang w:val="es-ES"/>
              </w:rPr>
              <w:t>4</w:t>
            </w:r>
            <w:r>
              <w:rPr>
                <w:rFonts w:ascii="Arial" w:hAnsi="Arial" w:cs="Arial"/>
                <w:sz w:val="20"/>
                <w:szCs w:val="20"/>
                <w:lang w:val="es-ES"/>
              </w:rPr>
              <w:t>00.000</w:t>
            </w:r>
            <w:r w:rsidRPr="000D6FC9">
              <w:rPr>
                <w:rFonts w:ascii="Arial" w:hAnsi="Arial" w:cs="Arial"/>
                <w:sz w:val="20"/>
                <w:szCs w:val="20"/>
                <w:lang w:val="es-ES"/>
              </w:rPr>
              <w:t xml:space="preserve"> €</w:t>
            </w:r>
          </w:p>
          <w:p w:rsidR="00647C84" w:rsidRDefault="00647C84" w:rsidP="00647C84">
            <w:pPr>
              <w:pStyle w:val="Prrafodelista"/>
              <w:numPr>
                <w:ilvl w:val="0"/>
                <w:numId w:val="7"/>
              </w:numPr>
              <w:spacing w:before="120" w:after="120"/>
              <w:ind w:left="204" w:hanging="204"/>
              <w:rPr>
                <w:rFonts w:ascii="Arial" w:hAnsi="Arial" w:cs="Arial"/>
                <w:sz w:val="20"/>
                <w:szCs w:val="20"/>
                <w:lang w:val="es-ES"/>
              </w:rPr>
            </w:pPr>
            <w:r w:rsidRPr="000D6FC9">
              <w:rPr>
                <w:rFonts w:ascii="Arial" w:hAnsi="Arial" w:cs="Arial"/>
                <w:sz w:val="20"/>
                <w:szCs w:val="20"/>
                <w:lang w:val="es-ES"/>
              </w:rPr>
              <w:t>Ingresos &gt; 2</w:t>
            </w:r>
            <w:r>
              <w:rPr>
                <w:rFonts w:ascii="Arial" w:hAnsi="Arial" w:cs="Arial"/>
                <w:sz w:val="20"/>
                <w:szCs w:val="20"/>
                <w:lang w:val="es-ES"/>
              </w:rPr>
              <w:t>.</w:t>
            </w:r>
            <w:r w:rsidRPr="000D6FC9">
              <w:rPr>
                <w:rFonts w:ascii="Arial" w:hAnsi="Arial" w:cs="Arial"/>
                <w:sz w:val="20"/>
                <w:szCs w:val="20"/>
                <w:lang w:val="es-ES"/>
              </w:rPr>
              <w:t>4</w:t>
            </w:r>
            <w:r>
              <w:rPr>
                <w:rFonts w:ascii="Arial" w:hAnsi="Arial" w:cs="Arial"/>
                <w:sz w:val="20"/>
                <w:szCs w:val="20"/>
                <w:lang w:val="es-ES"/>
              </w:rPr>
              <w:t>00.000</w:t>
            </w:r>
            <w:r w:rsidRPr="000D6FC9">
              <w:rPr>
                <w:rFonts w:ascii="Arial" w:hAnsi="Arial" w:cs="Arial"/>
                <w:sz w:val="20"/>
                <w:szCs w:val="20"/>
                <w:lang w:val="es-ES"/>
              </w:rPr>
              <w:t xml:space="preserve"> €</w:t>
            </w:r>
          </w:p>
          <w:p w:rsidR="004510AA" w:rsidRDefault="00647C84" w:rsidP="00647C84">
            <w:pPr>
              <w:pStyle w:val="Prrafodelista"/>
              <w:numPr>
                <w:ilvl w:val="0"/>
                <w:numId w:val="7"/>
              </w:numPr>
              <w:spacing w:before="120" w:after="120"/>
              <w:ind w:left="204" w:hanging="204"/>
              <w:rPr>
                <w:rFonts w:ascii="Arial" w:hAnsi="Arial" w:cs="Arial"/>
                <w:lang w:val="es-ES"/>
              </w:rPr>
            </w:pPr>
            <w:r>
              <w:rPr>
                <w:rFonts w:ascii="Arial" w:hAnsi="Arial" w:cs="Arial"/>
                <w:sz w:val="20"/>
                <w:szCs w:val="20"/>
                <w:lang w:val="es-ES"/>
              </w:rPr>
              <w:t>Pla</w:t>
            </w:r>
            <w:r w:rsidRPr="005973DE">
              <w:rPr>
                <w:rFonts w:ascii="Arial" w:hAnsi="Arial" w:cs="Arial"/>
                <w:sz w:val="20"/>
                <w:szCs w:val="20"/>
                <w:lang w:val="es-ES"/>
              </w:rPr>
              <w:t>ntilla media &gt; 50</w:t>
            </w:r>
          </w:p>
        </w:tc>
      </w:tr>
      <w:tr w:rsidR="004510AA" w:rsidTr="00647C84">
        <w:trPr>
          <w:trHeight w:val="386"/>
        </w:trPr>
        <w:tc>
          <w:tcPr>
            <w:tcW w:w="8897" w:type="dxa"/>
            <w:gridSpan w:val="3"/>
            <w:shd w:val="clear" w:color="auto" w:fill="DBE5F1" w:themeFill="accent1" w:themeFillTint="33"/>
          </w:tcPr>
          <w:p w:rsidR="004510AA" w:rsidRDefault="00647C84" w:rsidP="00647C84">
            <w:pPr>
              <w:spacing w:before="120" w:after="120"/>
              <w:ind w:left="0" w:firstLine="0"/>
              <w:jc w:val="left"/>
              <w:rPr>
                <w:rFonts w:ascii="Arial" w:hAnsi="Arial" w:cs="Arial"/>
                <w:lang w:val="es-ES"/>
              </w:rPr>
            </w:pPr>
            <w:r w:rsidRPr="009F0997">
              <w:rPr>
                <w:rFonts w:ascii="Arial" w:hAnsi="Arial" w:cs="Arial"/>
                <w:b/>
                <w:color w:val="1F497D" w:themeColor="text2"/>
                <w:sz w:val="20"/>
                <w:szCs w:val="20"/>
                <w:lang w:val="es-ES"/>
              </w:rPr>
              <w:t>Cooperativas</w:t>
            </w:r>
          </w:p>
        </w:tc>
      </w:tr>
      <w:tr w:rsidR="00647C84" w:rsidTr="00647C84">
        <w:tc>
          <w:tcPr>
            <w:tcW w:w="2518" w:type="dxa"/>
            <w:tcBorders>
              <w:bottom w:val="single" w:sz="4" w:space="0" w:color="B8CCE4" w:themeColor="accent1" w:themeTint="66"/>
            </w:tcBorders>
          </w:tcPr>
          <w:p w:rsidR="00647C84" w:rsidRDefault="00647C84" w:rsidP="004A4748">
            <w:pPr>
              <w:spacing w:before="120" w:after="120"/>
              <w:ind w:left="0" w:firstLine="0"/>
              <w:rPr>
                <w:rFonts w:ascii="Arial" w:hAnsi="Arial" w:cs="Arial"/>
                <w:lang w:val="es-ES"/>
              </w:rPr>
            </w:pPr>
            <w:r>
              <w:rPr>
                <w:rFonts w:ascii="Arial" w:hAnsi="Arial" w:cs="Arial"/>
                <w:sz w:val="20"/>
                <w:szCs w:val="20"/>
                <w:lang w:val="es-ES"/>
              </w:rPr>
              <w:t>De crédito</w:t>
            </w:r>
          </w:p>
        </w:tc>
        <w:tc>
          <w:tcPr>
            <w:tcW w:w="3686" w:type="dxa"/>
            <w:tcBorders>
              <w:bottom w:val="single" w:sz="4" w:space="0" w:color="B8CCE4" w:themeColor="accent1" w:themeTint="66"/>
            </w:tcBorders>
          </w:tcPr>
          <w:p w:rsidR="00647C84" w:rsidRPr="00C14412" w:rsidRDefault="00647C84" w:rsidP="00647C84">
            <w:pPr>
              <w:spacing w:before="120" w:after="120"/>
              <w:ind w:left="0" w:firstLine="0"/>
              <w:jc w:val="left"/>
              <w:rPr>
                <w:rFonts w:ascii="Arial" w:hAnsi="Arial" w:cs="Arial"/>
                <w:sz w:val="20"/>
                <w:szCs w:val="20"/>
                <w:lang w:val="es-ES"/>
              </w:rPr>
            </w:pPr>
            <w:r w:rsidRPr="00C14412">
              <w:rPr>
                <w:rFonts w:ascii="Arial" w:hAnsi="Arial" w:cs="Arial"/>
                <w:sz w:val="20"/>
                <w:szCs w:val="20"/>
              </w:rPr>
              <w:t xml:space="preserve">Art. 11 </w:t>
            </w:r>
            <w:r w:rsidRPr="00C14412">
              <w:rPr>
                <w:rFonts w:ascii="Arial" w:hAnsi="Arial" w:cs="Arial"/>
                <w:sz w:val="20"/>
                <w:szCs w:val="20"/>
                <w:lang w:val="es-ES"/>
              </w:rPr>
              <w:t>Ley 13/1989</w:t>
            </w:r>
            <w:bookmarkStart w:id="0" w:name="a37"/>
            <w:r w:rsidRPr="00C14412">
              <w:rPr>
                <w:rFonts w:ascii="Arial" w:hAnsi="Arial" w:cs="Arial"/>
                <w:sz w:val="20"/>
                <w:szCs w:val="20"/>
                <w:lang w:val="es-ES"/>
              </w:rPr>
              <w:t xml:space="preserve"> de Cooperativas  de Crédito y art. 37</w:t>
            </w:r>
            <w:bookmarkEnd w:id="0"/>
            <w:r w:rsidRPr="00C14412">
              <w:rPr>
                <w:rFonts w:ascii="Arial" w:hAnsi="Arial" w:cs="Arial"/>
                <w:sz w:val="20"/>
                <w:szCs w:val="20"/>
                <w:lang w:val="es-ES"/>
              </w:rPr>
              <w:t xml:space="preserve"> del Real Decreto 84/1993, de 22 de enero, por el que se aprueba el Reglamento de desarrollo de la Ley 13/1989, de 26 de mayo, de Cooperativas de Crédito</w:t>
            </w:r>
            <w:r>
              <w:rPr>
                <w:rFonts w:ascii="Arial" w:hAnsi="Arial" w:cs="Arial"/>
                <w:sz w:val="20"/>
                <w:szCs w:val="20"/>
                <w:lang w:val="es-ES"/>
              </w:rPr>
              <w:t>.</w:t>
            </w:r>
          </w:p>
        </w:tc>
        <w:tc>
          <w:tcPr>
            <w:tcW w:w="2693" w:type="dxa"/>
            <w:tcBorders>
              <w:bottom w:val="single" w:sz="4" w:space="0" w:color="B8CCE4" w:themeColor="accent1" w:themeTint="66"/>
            </w:tcBorders>
          </w:tcPr>
          <w:p w:rsidR="00647C84" w:rsidRDefault="00647C84" w:rsidP="004A4748">
            <w:pPr>
              <w:spacing w:before="120" w:after="120"/>
              <w:ind w:left="0" w:firstLine="0"/>
              <w:rPr>
                <w:rFonts w:ascii="Arial" w:hAnsi="Arial" w:cs="Arial"/>
                <w:lang w:val="es-ES"/>
              </w:rPr>
            </w:pPr>
            <w:r>
              <w:rPr>
                <w:rFonts w:ascii="Arial" w:hAnsi="Arial" w:cs="Arial"/>
                <w:sz w:val="20"/>
                <w:szCs w:val="20"/>
                <w:lang w:val="es-ES"/>
              </w:rPr>
              <w:t>Se requiere auditorí</w:t>
            </w:r>
            <w:r w:rsidRPr="00C14412">
              <w:rPr>
                <w:rFonts w:ascii="Arial" w:hAnsi="Arial" w:cs="Arial"/>
                <w:sz w:val="20"/>
                <w:szCs w:val="20"/>
                <w:lang w:val="es-ES"/>
              </w:rPr>
              <w:t>a en cualquier caso</w:t>
            </w:r>
          </w:p>
        </w:tc>
      </w:tr>
      <w:tr w:rsidR="00647C84" w:rsidTr="00647C84">
        <w:tc>
          <w:tcPr>
            <w:tcW w:w="8897" w:type="dxa"/>
            <w:gridSpan w:val="3"/>
            <w:shd w:val="clear" w:color="auto" w:fill="DBE5F1" w:themeFill="accent1" w:themeFillTint="33"/>
          </w:tcPr>
          <w:p w:rsidR="00647C84" w:rsidRDefault="00647C84" w:rsidP="004A4748">
            <w:pPr>
              <w:spacing w:before="120" w:after="120"/>
              <w:ind w:left="0" w:firstLine="0"/>
              <w:rPr>
                <w:rFonts w:ascii="Arial" w:hAnsi="Arial" w:cs="Arial"/>
                <w:lang w:val="es-ES"/>
              </w:rPr>
            </w:pPr>
            <w:r w:rsidRPr="00C14412">
              <w:rPr>
                <w:rFonts w:ascii="Arial" w:hAnsi="Arial" w:cs="Arial"/>
                <w:b/>
                <w:color w:val="1F497D" w:themeColor="text2"/>
                <w:sz w:val="20"/>
                <w:szCs w:val="20"/>
                <w:lang w:val="es-ES"/>
              </w:rPr>
              <w:t>Resto cooperativas</w:t>
            </w:r>
          </w:p>
        </w:tc>
      </w:tr>
      <w:tr w:rsidR="00647C84" w:rsidTr="00647C84">
        <w:tc>
          <w:tcPr>
            <w:tcW w:w="2518" w:type="dxa"/>
            <w:tcBorders>
              <w:bottom w:val="single" w:sz="4" w:space="0" w:color="B8CCE4" w:themeColor="accent1" w:themeTint="66"/>
            </w:tcBorders>
          </w:tcPr>
          <w:p w:rsidR="00647C84" w:rsidRDefault="00647C84" w:rsidP="00647C84">
            <w:pPr>
              <w:spacing w:before="120" w:after="120"/>
              <w:ind w:left="0" w:firstLine="0"/>
              <w:jc w:val="left"/>
              <w:rPr>
                <w:rFonts w:ascii="Arial" w:hAnsi="Arial" w:cs="Arial"/>
                <w:lang w:val="es-ES"/>
              </w:rPr>
            </w:pPr>
            <w:r w:rsidRPr="005973DE">
              <w:rPr>
                <w:rFonts w:ascii="Arial" w:hAnsi="Arial" w:cs="Arial"/>
                <w:sz w:val="20"/>
                <w:szCs w:val="20"/>
                <w:lang w:val="es-ES"/>
              </w:rPr>
              <w:t>De ámbito estata</w:t>
            </w:r>
            <w:r>
              <w:rPr>
                <w:rFonts w:ascii="Arial" w:hAnsi="Arial" w:cs="Arial"/>
                <w:sz w:val="20"/>
                <w:szCs w:val="20"/>
                <w:lang w:val="es-ES"/>
              </w:rPr>
              <w:t xml:space="preserve">l o sin </w:t>
            </w:r>
            <w:r w:rsidRPr="005973DE">
              <w:rPr>
                <w:rFonts w:ascii="Arial" w:hAnsi="Arial" w:cs="Arial"/>
                <w:sz w:val="20"/>
                <w:szCs w:val="20"/>
                <w:lang w:val="es-ES"/>
              </w:rPr>
              <w:t>regulación específica autonómica</w:t>
            </w:r>
          </w:p>
        </w:tc>
        <w:tc>
          <w:tcPr>
            <w:tcW w:w="3686" w:type="dxa"/>
            <w:tcBorders>
              <w:bottom w:val="single" w:sz="4" w:space="0" w:color="B8CCE4" w:themeColor="accent1" w:themeTint="66"/>
            </w:tcBorders>
          </w:tcPr>
          <w:p w:rsidR="00647C84" w:rsidRDefault="00647C84" w:rsidP="00647C84">
            <w:pPr>
              <w:spacing w:before="120" w:after="120"/>
              <w:ind w:left="0" w:right="34" w:firstLine="0"/>
              <w:rPr>
                <w:rFonts w:ascii="Arial" w:hAnsi="Arial" w:cs="Arial"/>
                <w:lang w:val="es-ES"/>
              </w:rPr>
            </w:pPr>
            <w:r w:rsidRPr="000D6FC9">
              <w:rPr>
                <w:rFonts w:ascii="Arial" w:hAnsi="Arial" w:cs="Arial"/>
                <w:sz w:val="20"/>
                <w:szCs w:val="20"/>
                <w:lang w:val="es-ES"/>
              </w:rPr>
              <w:t>Art. 62 Ley 27/1999, de 16 de julio, de Cooperativas.</w:t>
            </w:r>
            <w:r>
              <w:rPr>
                <w:rFonts w:ascii="Arial" w:hAnsi="Arial" w:cs="Arial"/>
                <w:sz w:val="20"/>
                <w:szCs w:val="20"/>
                <w:lang w:val="es-ES"/>
              </w:rPr>
              <w:t xml:space="preserve"> R</w:t>
            </w:r>
            <w:r w:rsidRPr="000D6FC9">
              <w:rPr>
                <w:rFonts w:ascii="Arial" w:hAnsi="Arial" w:cs="Arial"/>
                <w:sz w:val="20"/>
                <w:szCs w:val="20"/>
                <w:lang w:val="es-ES"/>
              </w:rPr>
              <w:t>emisión a D.A. 1ª RTRLAC</w:t>
            </w:r>
            <w:r>
              <w:rPr>
                <w:rFonts w:ascii="Arial" w:hAnsi="Arial" w:cs="Arial"/>
                <w:sz w:val="20"/>
                <w:szCs w:val="20"/>
                <w:lang w:val="es-ES"/>
              </w:rPr>
              <w:t>.</w:t>
            </w:r>
          </w:p>
        </w:tc>
        <w:tc>
          <w:tcPr>
            <w:tcW w:w="2693" w:type="dxa"/>
            <w:tcBorders>
              <w:bottom w:val="single" w:sz="4" w:space="0" w:color="B8CCE4" w:themeColor="accent1" w:themeTint="66"/>
            </w:tcBorders>
          </w:tcPr>
          <w:p w:rsidR="00647C84" w:rsidRDefault="00647C84" w:rsidP="004A4748">
            <w:pPr>
              <w:spacing w:before="120" w:after="120"/>
              <w:ind w:left="0" w:firstLine="0"/>
              <w:rPr>
                <w:rFonts w:ascii="Arial" w:hAnsi="Arial" w:cs="Arial"/>
                <w:lang w:val="es-ES"/>
              </w:rPr>
            </w:pPr>
            <w:r>
              <w:rPr>
                <w:rFonts w:ascii="Arial" w:hAnsi="Arial" w:cs="Arial"/>
                <w:sz w:val="20"/>
                <w:szCs w:val="20"/>
                <w:lang w:val="es-ES"/>
              </w:rPr>
              <w:t xml:space="preserve">Los límites establecidos en el </w:t>
            </w:r>
            <w:r w:rsidRPr="005973DE">
              <w:rPr>
                <w:rFonts w:ascii="Arial" w:hAnsi="Arial" w:cs="Arial"/>
                <w:sz w:val="20"/>
                <w:szCs w:val="20"/>
                <w:lang w:val="es-ES"/>
              </w:rPr>
              <w:t>art</w:t>
            </w:r>
            <w:r>
              <w:rPr>
                <w:rFonts w:ascii="Arial" w:hAnsi="Arial" w:cs="Arial"/>
                <w:sz w:val="20"/>
                <w:szCs w:val="20"/>
                <w:lang w:val="es-ES"/>
              </w:rPr>
              <w:t>ículo</w:t>
            </w:r>
            <w:r w:rsidRPr="005973DE">
              <w:rPr>
                <w:rFonts w:ascii="Arial" w:hAnsi="Arial" w:cs="Arial"/>
                <w:sz w:val="20"/>
                <w:szCs w:val="20"/>
                <w:lang w:val="es-ES"/>
              </w:rPr>
              <w:t xml:space="preserve"> 257 </w:t>
            </w:r>
            <w:r>
              <w:rPr>
                <w:rFonts w:ascii="Arial" w:hAnsi="Arial" w:cs="Arial"/>
                <w:sz w:val="20"/>
                <w:szCs w:val="20"/>
                <w:lang w:val="es-ES"/>
              </w:rPr>
              <w:t xml:space="preserve">del </w:t>
            </w:r>
            <w:r>
              <w:rPr>
                <w:rFonts w:ascii="Arial" w:hAnsi="Arial" w:cs="Arial"/>
                <w:lang w:val="es-ES"/>
              </w:rPr>
              <w:t>TRLSC.</w:t>
            </w:r>
          </w:p>
        </w:tc>
      </w:tr>
      <w:tr w:rsidR="00647C84" w:rsidTr="00647C84">
        <w:tc>
          <w:tcPr>
            <w:tcW w:w="8897" w:type="dxa"/>
            <w:gridSpan w:val="3"/>
            <w:shd w:val="clear" w:color="auto" w:fill="DBE5F1" w:themeFill="accent1" w:themeFillTint="33"/>
          </w:tcPr>
          <w:p w:rsidR="00647C84" w:rsidRPr="009F0997" w:rsidRDefault="00647C84" w:rsidP="00647C84">
            <w:pPr>
              <w:spacing w:before="120" w:after="120"/>
              <w:ind w:left="142" w:hanging="142"/>
              <w:rPr>
                <w:rFonts w:ascii="Arial" w:hAnsi="Arial" w:cs="Arial"/>
                <w:b/>
                <w:color w:val="1F497D" w:themeColor="text2"/>
                <w:sz w:val="20"/>
                <w:szCs w:val="20"/>
                <w:lang w:val="es-ES"/>
              </w:rPr>
            </w:pPr>
            <w:r w:rsidRPr="009F0997">
              <w:rPr>
                <w:rFonts w:ascii="Arial" w:hAnsi="Arial" w:cs="Arial"/>
                <w:b/>
                <w:color w:val="1F497D" w:themeColor="text2"/>
                <w:sz w:val="20"/>
                <w:szCs w:val="20"/>
                <w:lang w:val="es-ES"/>
              </w:rPr>
              <w:t>Sociedades anónimas deportivas</w:t>
            </w:r>
          </w:p>
        </w:tc>
      </w:tr>
      <w:tr w:rsidR="00647C84" w:rsidTr="00647C84">
        <w:tc>
          <w:tcPr>
            <w:tcW w:w="2518" w:type="dxa"/>
          </w:tcPr>
          <w:p w:rsidR="00647C84" w:rsidRDefault="00647C84" w:rsidP="004A4748">
            <w:pPr>
              <w:spacing w:before="120" w:after="120"/>
              <w:ind w:left="0" w:firstLine="0"/>
              <w:rPr>
                <w:rFonts w:ascii="Arial" w:hAnsi="Arial" w:cs="Arial"/>
                <w:lang w:val="es-ES"/>
              </w:rPr>
            </w:pPr>
          </w:p>
        </w:tc>
        <w:tc>
          <w:tcPr>
            <w:tcW w:w="3686" w:type="dxa"/>
          </w:tcPr>
          <w:p w:rsidR="00647C84" w:rsidRDefault="00647C84" w:rsidP="004A4748">
            <w:pPr>
              <w:spacing w:before="120" w:after="120"/>
              <w:ind w:left="0" w:firstLine="0"/>
              <w:rPr>
                <w:rFonts w:ascii="Arial" w:hAnsi="Arial" w:cs="Arial"/>
                <w:lang w:val="es-ES"/>
              </w:rPr>
            </w:pPr>
            <w:r w:rsidRPr="00D57DEB">
              <w:rPr>
                <w:rFonts w:ascii="Arial" w:hAnsi="Arial" w:cs="Arial"/>
                <w:sz w:val="20"/>
                <w:szCs w:val="20"/>
                <w:lang w:val="es-ES"/>
              </w:rPr>
              <w:t>Art. 20 Real Decreto 1251/1999, de 16 de julio, sobre</w:t>
            </w:r>
            <w:r>
              <w:rPr>
                <w:rFonts w:ascii="Arial" w:hAnsi="Arial" w:cs="Arial"/>
                <w:sz w:val="20"/>
                <w:szCs w:val="20"/>
                <w:lang w:val="es-ES"/>
              </w:rPr>
              <w:t xml:space="preserve"> sociedades anónimas deportivas.</w:t>
            </w:r>
          </w:p>
        </w:tc>
        <w:tc>
          <w:tcPr>
            <w:tcW w:w="2693" w:type="dxa"/>
          </w:tcPr>
          <w:p w:rsidR="00647C84" w:rsidRDefault="00647C84" w:rsidP="004A4748">
            <w:pPr>
              <w:spacing w:before="120" w:after="120"/>
              <w:ind w:left="0" w:firstLine="0"/>
              <w:rPr>
                <w:rFonts w:ascii="Arial" w:hAnsi="Arial" w:cs="Arial"/>
                <w:lang w:val="es-ES"/>
              </w:rPr>
            </w:pPr>
            <w:r>
              <w:rPr>
                <w:rFonts w:ascii="Arial" w:hAnsi="Arial" w:cs="Arial"/>
                <w:sz w:val="20"/>
                <w:szCs w:val="20"/>
                <w:lang w:val="es-ES"/>
              </w:rPr>
              <w:t>Se requiere auditorí</w:t>
            </w:r>
            <w:r w:rsidRPr="005973DE">
              <w:rPr>
                <w:rFonts w:ascii="Arial" w:hAnsi="Arial" w:cs="Arial"/>
                <w:sz w:val="20"/>
                <w:szCs w:val="20"/>
                <w:lang w:val="es-ES"/>
              </w:rPr>
              <w:t>a en cualquier caso</w:t>
            </w:r>
            <w:r>
              <w:rPr>
                <w:rFonts w:ascii="Arial" w:hAnsi="Arial" w:cs="Arial"/>
                <w:sz w:val="20"/>
                <w:szCs w:val="20"/>
                <w:lang w:val="es-ES"/>
              </w:rPr>
              <w:t>.</w:t>
            </w:r>
          </w:p>
        </w:tc>
      </w:tr>
    </w:tbl>
    <w:p w:rsidR="0083198E" w:rsidRDefault="0083198E" w:rsidP="00692636">
      <w:pPr>
        <w:ind w:left="0" w:right="-1" w:firstLine="0"/>
        <w:rPr>
          <w:rFonts w:ascii="Arial" w:hAnsi="Arial" w:cs="Arial"/>
          <w:lang w:val="es-ES"/>
        </w:rPr>
      </w:pPr>
    </w:p>
    <w:p w:rsidR="00647C84" w:rsidRDefault="00647C84" w:rsidP="00692636">
      <w:pPr>
        <w:ind w:left="0" w:right="-1" w:firstLine="0"/>
        <w:rPr>
          <w:rFonts w:ascii="Arial" w:hAnsi="Arial" w:cs="Arial"/>
          <w:lang w:val="es-ES"/>
        </w:rPr>
      </w:pPr>
    </w:p>
    <w:p w:rsidR="00692636" w:rsidRPr="00C14412" w:rsidRDefault="00692636" w:rsidP="00692636">
      <w:pPr>
        <w:ind w:left="284" w:right="-1" w:hanging="284"/>
        <w:rPr>
          <w:rFonts w:ascii="Arial" w:hAnsi="Arial" w:cs="Arial"/>
          <w:lang w:val="es-ES"/>
        </w:rPr>
      </w:pPr>
      <w:r w:rsidRPr="00F62B6C">
        <w:rPr>
          <w:rFonts w:ascii="Arial" w:hAnsi="Arial" w:cs="Arial"/>
          <w:b/>
          <w:color w:val="1F497D" w:themeColor="text2"/>
          <w:sz w:val="24"/>
          <w:szCs w:val="24"/>
          <w:lang w:val="es-ES"/>
        </w:rPr>
        <w:t>¹</w:t>
      </w:r>
      <w:r>
        <w:rPr>
          <w:rFonts w:ascii="Arial" w:hAnsi="Arial" w:cs="Arial"/>
          <w:b/>
          <w:color w:val="1F497D" w:themeColor="text2"/>
          <w:sz w:val="24"/>
          <w:szCs w:val="24"/>
          <w:lang w:val="es-ES"/>
        </w:rPr>
        <w:t xml:space="preserve"> </w:t>
      </w:r>
      <w:r w:rsidRPr="00C14412">
        <w:rPr>
          <w:rFonts w:ascii="Arial" w:hAnsi="Arial" w:cs="Arial"/>
          <w:lang w:val="es-ES"/>
        </w:rPr>
        <w:t xml:space="preserve">En aquellos casos en los que la obligación de auditoría viene establecida por límites deben cumplirse </w:t>
      </w:r>
      <w:r>
        <w:rPr>
          <w:rFonts w:ascii="Arial" w:hAnsi="Arial" w:cs="Arial"/>
          <w:lang w:val="es-ES"/>
        </w:rPr>
        <w:t xml:space="preserve">al menos </w:t>
      </w:r>
      <w:r w:rsidRPr="00C14412">
        <w:rPr>
          <w:rFonts w:ascii="Arial" w:hAnsi="Arial" w:cs="Arial"/>
          <w:lang w:val="es-ES"/>
        </w:rPr>
        <w:t>dos, siendo el peri</w:t>
      </w:r>
      <w:r>
        <w:rPr>
          <w:rFonts w:ascii="Arial" w:hAnsi="Arial" w:cs="Arial"/>
          <w:lang w:val="es-ES"/>
        </w:rPr>
        <w:t>o</w:t>
      </w:r>
      <w:r w:rsidRPr="00C14412">
        <w:rPr>
          <w:rFonts w:ascii="Arial" w:hAnsi="Arial" w:cs="Arial"/>
          <w:lang w:val="es-ES"/>
        </w:rPr>
        <w:t>do de c</w:t>
      </w:r>
      <w:r>
        <w:rPr>
          <w:rFonts w:ascii="Arial" w:hAnsi="Arial" w:cs="Arial"/>
          <w:lang w:val="es-ES"/>
        </w:rPr>
        <w:t>ó</w:t>
      </w:r>
      <w:r w:rsidRPr="00C14412">
        <w:rPr>
          <w:rFonts w:ascii="Arial" w:hAnsi="Arial" w:cs="Arial"/>
          <w:lang w:val="es-ES"/>
        </w:rPr>
        <w:t>mputo de dos ejercicios consecutivos.</w:t>
      </w:r>
    </w:p>
    <w:p w:rsidR="00692636" w:rsidRPr="00C14412" w:rsidRDefault="00692636" w:rsidP="00692636">
      <w:pPr>
        <w:autoSpaceDE w:val="0"/>
        <w:autoSpaceDN w:val="0"/>
        <w:adjustRightInd w:val="0"/>
        <w:ind w:left="0" w:firstLine="0"/>
        <w:jc w:val="left"/>
        <w:rPr>
          <w:rFonts w:ascii="Arial" w:hAnsi="Arial" w:cs="Arial"/>
          <w:color w:val="000000"/>
          <w:lang w:val="es-ES"/>
        </w:rPr>
      </w:pPr>
    </w:p>
    <w:p w:rsidR="00692636" w:rsidRPr="00C14412" w:rsidRDefault="00692636" w:rsidP="00692636">
      <w:pPr>
        <w:ind w:left="284" w:right="-1" w:hanging="284"/>
        <w:rPr>
          <w:rFonts w:ascii="Arial" w:hAnsi="Arial" w:cs="Arial"/>
          <w:lang w:val="es-ES"/>
        </w:rPr>
      </w:pPr>
      <w:r w:rsidRPr="00C14412">
        <w:rPr>
          <w:rFonts w:ascii="Arial" w:hAnsi="Arial" w:cs="Arial"/>
          <w:color w:val="000000"/>
          <w:lang w:val="es-ES"/>
        </w:rPr>
        <w:t xml:space="preserve"> ²</w:t>
      </w:r>
      <w:r>
        <w:rPr>
          <w:rFonts w:ascii="Arial" w:hAnsi="Arial" w:cs="Arial"/>
          <w:color w:val="000000"/>
          <w:lang w:val="es-ES"/>
        </w:rPr>
        <w:t xml:space="preserve"> </w:t>
      </w:r>
      <w:r w:rsidRPr="00C14412">
        <w:rPr>
          <w:rFonts w:ascii="Arial" w:hAnsi="Arial" w:cs="Arial"/>
          <w:color w:val="000000"/>
          <w:lang w:val="es-ES"/>
        </w:rPr>
        <w:t xml:space="preserve">Remite al apartado 3 de normas de elaboración de las cuentas anuales del </w:t>
      </w:r>
      <w:r w:rsidRPr="00C14412">
        <w:rPr>
          <w:rFonts w:ascii="Arial" w:hAnsi="Arial" w:cs="Arial"/>
          <w:iCs/>
          <w:color w:val="000000"/>
          <w:lang w:val="es-ES"/>
        </w:rPr>
        <w:t>Real Decreto 1491/2011, de 24 de octubre, por el que se aprueban las normas de adaptación del Plan General de Contabilidad a las entidades sin fines lucrativos y el modelo de plan de actuación de las entidades sin fines lucrativos</w:t>
      </w:r>
      <w:r>
        <w:rPr>
          <w:rFonts w:ascii="Arial" w:hAnsi="Arial" w:cs="Arial"/>
          <w:iCs/>
          <w:color w:val="000000"/>
          <w:lang w:val="es-ES"/>
        </w:rPr>
        <w:t>.</w:t>
      </w:r>
    </w:p>
    <w:p w:rsidR="00692636" w:rsidRDefault="00692636" w:rsidP="00692636">
      <w:pPr>
        <w:ind w:left="0" w:right="-1" w:firstLine="0"/>
        <w:rPr>
          <w:rFonts w:ascii="Arial" w:hAnsi="Arial" w:cs="Arial"/>
          <w:b/>
          <w:color w:val="1F497D" w:themeColor="text2"/>
          <w:sz w:val="24"/>
          <w:szCs w:val="24"/>
          <w:lang w:val="es-ES"/>
        </w:rPr>
      </w:pPr>
    </w:p>
    <w:p w:rsidR="00692636" w:rsidRDefault="00692636" w:rsidP="00692636">
      <w:pPr>
        <w:autoSpaceDE w:val="0"/>
        <w:autoSpaceDN w:val="0"/>
        <w:adjustRightInd w:val="0"/>
        <w:spacing w:line="276" w:lineRule="auto"/>
        <w:ind w:left="0" w:hanging="6"/>
        <w:rPr>
          <w:rFonts w:ascii="Arial" w:hAnsi="Arial" w:cs="Arial"/>
          <w:lang w:val="es-ES"/>
        </w:rPr>
      </w:pPr>
      <w:r w:rsidRPr="0022115A">
        <w:rPr>
          <w:rFonts w:ascii="Arial" w:hAnsi="Arial" w:cs="Arial"/>
          <w:lang w:val="es-ES"/>
        </w:rPr>
        <w:t>En relación a las empresas en concurso de acreedores</w:t>
      </w:r>
      <w:r>
        <w:rPr>
          <w:rFonts w:ascii="Arial" w:hAnsi="Arial" w:cs="Arial"/>
          <w:lang w:val="es-ES"/>
        </w:rPr>
        <w:t>, cabe</w:t>
      </w:r>
      <w:r w:rsidRPr="0022115A">
        <w:rPr>
          <w:rFonts w:ascii="Arial" w:hAnsi="Arial" w:cs="Arial"/>
          <w:lang w:val="es-ES"/>
        </w:rPr>
        <w:t xml:space="preserve"> recordar que </w:t>
      </w:r>
      <w:r>
        <w:rPr>
          <w:rFonts w:ascii="Arial" w:hAnsi="Arial" w:cs="Arial"/>
          <w:lang w:val="es-ES"/>
        </w:rPr>
        <w:t>la</w:t>
      </w:r>
      <w:r w:rsidRPr="0022115A">
        <w:rPr>
          <w:rFonts w:ascii="Arial" w:hAnsi="Arial" w:cs="Arial"/>
          <w:lang w:val="es-ES"/>
        </w:rPr>
        <w:t xml:space="preserve"> vigente redac</w:t>
      </w:r>
      <w:r>
        <w:rPr>
          <w:rFonts w:ascii="Arial" w:hAnsi="Arial" w:cs="Arial"/>
          <w:lang w:val="es-ES"/>
        </w:rPr>
        <w:t>ción</w:t>
      </w:r>
      <w:r w:rsidRPr="0022115A">
        <w:rPr>
          <w:rFonts w:ascii="Arial" w:hAnsi="Arial" w:cs="Arial"/>
          <w:lang w:val="es-ES"/>
        </w:rPr>
        <w:t xml:space="preserve"> del artículo </w:t>
      </w:r>
      <w:r>
        <w:rPr>
          <w:rFonts w:ascii="Arial" w:hAnsi="Arial" w:cs="Arial"/>
          <w:lang w:val="es-ES"/>
        </w:rPr>
        <w:t xml:space="preserve">46 de la Ley 22/2003, de 9 de julio, Concursal, </w:t>
      </w:r>
      <w:r w:rsidRPr="0022115A">
        <w:rPr>
          <w:rFonts w:ascii="Arial" w:hAnsi="Arial" w:cs="Arial"/>
          <w:lang w:val="es-ES"/>
        </w:rPr>
        <w:t>de aplicación a las solicitudes que se presenten y concursos que se declaren a partir del 1 de enero de 2012</w:t>
      </w:r>
      <w:r>
        <w:rPr>
          <w:rFonts w:ascii="Arial" w:hAnsi="Arial" w:cs="Arial"/>
          <w:lang w:val="es-ES"/>
        </w:rPr>
        <w:t>,  indica que para la concursada s</w:t>
      </w:r>
      <w:r w:rsidRPr="0022115A">
        <w:rPr>
          <w:rFonts w:ascii="Arial" w:hAnsi="Arial" w:cs="Arial"/>
          <w:lang w:val="es-ES"/>
        </w:rPr>
        <w:t>ubsist</w:t>
      </w:r>
      <w:r>
        <w:rPr>
          <w:rFonts w:ascii="Arial" w:hAnsi="Arial" w:cs="Arial"/>
          <w:lang w:val="es-ES"/>
        </w:rPr>
        <w:t>e</w:t>
      </w:r>
      <w:r w:rsidRPr="0022115A">
        <w:rPr>
          <w:rFonts w:ascii="Arial" w:hAnsi="Arial" w:cs="Arial"/>
          <w:lang w:val="es-ES"/>
        </w:rPr>
        <w:t xml:space="preserve"> la obligación legal de formular y de someter a auditoría las cuentas anuales</w:t>
      </w:r>
      <w:r>
        <w:rPr>
          <w:rFonts w:ascii="Arial" w:hAnsi="Arial" w:cs="Arial"/>
          <w:lang w:val="es-ES"/>
        </w:rPr>
        <w:t xml:space="preserve">. </w:t>
      </w:r>
    </w:p>
    <w:p w:rsidR="00647C84" w:rsidRDefault="00647C84" w:rsidP="00692636">
      <w:pPr>
        <w:autoSpaceDE w:val="0"/>
        <w:autoSpaceDN w:val="0"/>
        <w:adjustRightInd w:val="0"/>
        <w:spacing w:line="276" w:lineRule="auto"/>
        <w:ind w:left="0" w:hanging="6"/>
        <w:rPr>
          <w:rFonts w:ascii="Arial" w:hAnsi="Arial" w:cs="Arial"/>
          <w:lang w:val="es-ES"/>
        </w:rPr>
      </w:pPr>
    </w:p>
    <w:p w:rsidR="00647C84" w:rsidRDefault="00647C84" w:rsidP="00692636">
      <w:pPr>
        <w:autoSpaceDE w:val="0"/>
        <w:autoSpaceDN w:val="0"/>
        <w:adjustRightInd w:val="0"/>
        <w:spacing w:line="276" w:lineRule="auto"/>
        <w:ind w:left="0" w:hanging="6"/>
        <w:rPr>
          <w:rFonts w:ascii="Arial" w:hAnsi="Arial" w:cs="Arial"/>
          <w:lang w:val="es-ES"/>
        </w:rPr>
      </w:pPr>
    </w:p>
    <w:p w:rsidR="00647C84" w:rsidRDefault="00647C84" w:rsidP="00692636">
      <w:pPr>
        <w:autoSpaceDE w:val="0"/>
        <w:autoSpaceDN w:val="0"/>
        <w:adjustRightInd w:val="0"/>
        <w:spacing w:line="276" w:lineRule="auto"/>
        <w:ind w:left="0" w:hanging="6"/>
        <w:rPr>
          <w:rFonts w:ascii="Arial" w:hAnsi="Arial" w:cs="Arial"/>
          <w:lang w:val="es-ES"/>
        </w:rPr>
      </w:pPr>
    </w:p>
    <w:p w:rsidR="00692636" w:rsidRDefault="00692636" w:rsidP="00692636">
      <w:pPr>
        <w:autoSpaceDE w:val="0"/>
        <w:autoSpaceDN w:val="0"/>
        <w:adjustRightInd w:val="0"/>
        <w:spacing w:line="276" w:lineRule="auto"/>
        <w:ind w:left="0" w:hanging="5"/>
        <w:rPr>
          <w:rFonts w:ascii="Arial" w:hAnsi="Arial" w:cs="Arial"/>
          <w:lang w:val="es-ES"/>
        </w:rPr>
      </w:pPr>
      <w:r>
        <w:rPr>
          <w:rFonts w:ascii="Arial" w:hAnsi="Arial" w:cs="Arial"/>
          <w:lang w:val="es-ES"/>
        </w:rPr>
        <w:lastRenderedPageBreak/>
        <w:t xml:space="preserve">En su redacción original, aplicable a los concursos declarados con anterioridad a 1 de enero de 2012, dicho artículo eximía, con excepciones, </w:t>
      </w:r>
      <w:r w:rsidRPr="00EB52B7">
        <w:rPr>
          <w:rFonts w:ascii="Arial" w:hAnsi="Arial" w:cs="Arial"/>
          <w:lang w:val="es-ES"/>
        </w:rPr>
        <w:t>a la sociedad concursada de realizar la auditoría de las primeras cuentas anuales que se prepar</w:t>
      </w:r>
      <w:r>
        <w:rPr>
          <w:rFonts w:ascii="Arial" w:hAnsi="Arial" w:cs="Arial"/>
          <w:lang w:val="es-ES"/>
        </w:rPr>
        <w:t>aran, estando</w:t>
      </w:r>
      <w:r w:rsidRPr="00EB52B7">
        <w:rPr>
          <w:rFonts w:ascii="Arial" w:hAnsi="Arial" w:cs="Arial"/>
          <w:lang w:val="es-ES"/>
        </w:rPr>
        <w:t xml:space="preserve"> en funciones la administración concursal</w:t>
      </w:r>
      <w:r>
        <w:rPr>
          <w:rFonts w:ascii="Arial" w:hAnsi="Arial" w:cs="Arial"/>
          <w:lang w:val="es-ES"/>
        </w:rPr>
        <w:t>.</w:t>
      </w:r>
    </w:p>
    <w:p w:rsidR="00DB2624" w:rsidRDefault="00DB2624" w:rsidP="00692636">
      <w:pPr>
        <w:autoSpaceDE w:val="0"/>
        <w:autoSpaceDN w:val="0"/>
        <w:adjustRightInd w:val="0"/>
        <w:spacing w:line="276" w:lineRule="auto"/>
        <w:ind w:left="0" w:hanging="5"/>
        <w:rPr>
          <w:rFonts w:ascii="Arial" w:hAnsi="Arial" w:cs="Arial"/>
          <w:lang w:val="es-ES"/>
        </w:rPr>
      </w:pPr>
    </w:p>
    <w:p w:rsidR="00692636" w:rsidRDefault="00692636" w:rsidP="00692636">
      <w:pPr>
        <w:autoSpaceDE w:val="0"/>
        <w:autoSpaceDN w:val="0"/>
        <w:adjustRightInd w:val="0"/>
        <w:spacing w:line="276" w:lineRule="auto"/>
        <w:rPr>
          <w:rFonts w:ascii="Arial" w:hAnsi="Arial" w:cs="Arial"/>
          <w:lang w:val="es-ES"/>
        </w:rPr>
      </w:pPr>
    </w:p>
    <w:p w:rsidR="00692636" w:rsidRDefault="00692636" w:rsidP="00692636">
      <w:pPr>
        <w:autoSpaceDE w:val="0"/>
        <w:autoSpaceDN w:val="0"/>
        <w:adjustRightInd w:val="0"/>
        <w:spacing w:line="276" w:lineRule="auto"/>
        <w:ind w:left="0" w:hanging="5"/>
        <w:rPr>
          <w:rFonts w:ascii="Arial" w:hAnsi="Arial" w:cs="Arial"/>
          <w:lang w:val="es-ES"/>
        </w:rPr>
      </w:pPr>
      <w:r>
        <w:rPr>
          <w:rFonts w:ascii="Arial" w:hAnsi="Arial" w:cs="Arial"/>
          <w:lang w:val="es-ES"/>
        </w:rPr>
        <w:t xml:space="preserve">En relación a las empresas en proceso de liquidación, con origen o no en un procedimiento concursal, aunque el ICAC consideró en su día (consulta número 2 del BOICAC 12-Marzo 1993) </w:t>
      </w:r>
      <w:r w:rsidRPr="00390076">
        <w:rPr>
          <w:rFonts w:ascii="Arial" w:hAnsi="Arial" w:cs="Arial"/>
          <w:lang w:val="es-ES"/>
        </w:rPr>
        <w:t>que la obligación de someter a auditoría las cuentas anuales de una sociedad no rige cuando dicha sociedad se encuentre en período de liquidación</w:t>
      </w:r>
      <w:r>
        <w:rPr>
          <w:rFonts w:ascii="Arial" w:hAnsi="Arial" w:cs="Arial"/>
          <w:lang w:val="es-ES"/>
        </w:rPr>
        <w:t xml:space="preserve">, la Dirección General de los Registros y del Notariado, en resolución de fecha 26 de mayo de 2009, publicada en el BOE de 27 de junio, </w:t>
      </w:r>
      <w:r w:rsidRPr="005639D8">
        <w:rPr>
          <w:rFonts w:ascii="Arial" w:hAnsi="Arial" w:cs="Arial"/>
          <w:lang w:val="es-ES"/>
        </w:rPr>
        <w:t>señala que subsiste la obligación de auditoría de las cuentas en fase de liquidación, dada la naturaleza esencialmente reversible de la sociedad en liquidación, cuya personalidad jurídica subsiste en tanto no se haya procedido al reparto del activo sobrante entre los socios y, una vez extinguida, a la cancelación de sus asientos en el Registro Mercantil</w:t>
      </w:r>
      <w:r>
        <w:rPr>
          <w:rFonts w:ascii="Arial" w:hAnsi="Arial" w:cs="Arial"/>
          <w:lang w:val="es-ES"/>
        </w:rPr>
        <w:t xml:space="preserve">. </w:t>
      </w:r>
    </w:p>
    <w:p w:rsidR="00692636" w:rsidRPr="0022115A" w:rsidRDefault="00692636" w:rsidP="00692636">
      <w:pPr>
        <w:autoSpaceDE w:val="0"/>
        <w:autoSpaceDN w:val="0"/>
        <w:adjustRightInd w:val="0"/>
        <w:spacing w:line="276" w:lineRule="auto"/>
        <w:rPr>
          <w:rFonts w:ascii="Arial" w:hAnsi="Arial" w:cs="Arial"/>
          <w:lang w:val="es-ES"/>
        </w:rPr>
      </w:pPr>
    </w:p>
    <w:p w:rsidR="00692636" w:rsidRDefault="00692636" w:rsidP="00692636">
      <w:pPr>
        <w:spacing w:line="276" w:lineRule="auto"/>
        <w:ind w:left="0" w:right="-1" w:hanging="5"/>
        <w:rPr>
          <w:rFonts w:ascii="Arial" w:hAnsi="Arial" w:cs="Arial"/>
          <w:lang w:val="es-ES"/>
        </w:rPr>
      </w:pPr>
      <w:r w:rsidRPr="00A71137">
        <w:rPr>
          <w:rFonts w:ascii="Arial" w:hAnsi="Arial" w:cs="Arial"/>
          <w:lang w:val="es-ES"/>
        </w:rPr>
        <w:t>Por último recordar que determinadas entidades que aunque por forma jurídica o tamaño están exentas de auditoría pueden incluir esta obligación en sus estatutos, debiendo en ese caso auditarse.</w:t>
      </w:r>
    </w:p>
    <w:p w:rsidR="00692636" w:rsidRPr="000F6429" w:rsidRDefault="00692636" w:rsidP="00692636">
      <w:pPr>
        <w:spacing w:line="276" w:lineRule="auto"/>
        <w:ind w:left="0" w:right="-1" w:firstLine="0"/>
        <w:rPr>
          <w:rFonts w:ascii="Arial" w:hAnsi="Arial" w:cs="Arial"/>
          <w:lang w:val="es-ES"/>
        </w:rPr>
      </w:pPr>
    </w:p>
    <w:p w:rsidR="00692636" w:rsidRDefault="00692636" w:rsidP="00692636">
      <w:pPr>
        <w:ind w:left="0" w:right="-1" w:firstLine="0"/>
        <w:rPr>
          <w:rFonts w:ascii="Arial" w:hAnsi="Arial" w:cs="Arial"/>
          <w:b/>
          <w:color w:val="1F497D" w:themeColor="text2"/>
          <w:sz w:val="24"/>
          <w:szCs w:val="24"/>
          <w:lang w:val="es-ES"/>
        </w:rPr>
      </w:pPr>
    </w:p>
    <w:p w:rsidR="00692636" w:rsidRPr="001D6452" w:rsidRDefault="00692636" w:rsidP="00692636">
      <w:pPr>
        <w:pStyle w:val="Prrafodelista"/>
        <w:numPr>
          <w:ilvl w:val="0"/>
          <w:numId w:val="6"/>
        </w:numPr>
        <w:pBdr>
          <w:bottom w:val="single" w:sz="4" w:space="1" w:color="1F497D" w:themeColor="text2"/>
        </w:pBdr>
        <w:ind w:right="-1" w:hanging="720"/>
        <w:rPr>
          <w:rFonts w:ascii="Arial" w:hAnsi="Arial" w:cs="Arial"/>
          <w:b/>
          <w:color w:val="1F497D" w:themeColor="text2"/>
          <w:lang w:val="es-ES"/>
        </w:rPr>
      </w:pPr>
      <w:r w:rsidRPr="001D6452">
        <w:rPr>
          <w:rFonts w:ascii="Arial" w:hAnsi="Arial" w:cs="Arial"/>
          <w:b/>
          <w:color w:val="1F497D" w:themeColor="text2"/>
          <w:lang w:val="es-ES"/>
        </w:rPr>
        <w:t>Entidades que formen parte del sector público estatal, autonómico o local</w:t>
      </w:r>
    </w:p>
    <w:p w:rsidR="00692636" w:rsidRDefault="00692636" w:rsidP="00692636">
      <w:pPr>
        <w:ind w:left="0" w:right="-1" w:firstLine="0"/>
        <w:rPr>
          <w:rFonts w:ascii="Arial" w:hAnsi="Arial" w:cs="Arial"/>
          <w:b/>
          <w:color w:val="1F497D" w:themeColor="text2"/>
          <w:sz w:val="24"/>
          <w:szCs w:val="24"/>
          <w:lang w:val="es-ES"/>
        </w:rPr>
      </w:pPr>
    </w:p>
    <w:p w:rsidR="00692636" w:rsidRDefault="00692636" w:rsidP="00692636">
      <w:pPr>
        <w:spacing w:line="276" w:lineRule="auto"/>
        <w:ind w:left="0" w:firstLine="0"/>
        <w:rPr>
          <w:rFonts w:ascii="Arial" w:hAnsi="Arial" w:cs="Arial"/>
          <w:lang w:val="es-ES"/>
        </w:rPr>
      </w:pPr>
      <w:r>
        <w:rPr>
          <w:rFonts w:ascii="Arial" w:hAnsi="Arial" w:cs="Arial"/>
          <w:lang w:val="es-ES"/>
        </w:rPr>
        <w:t xml:space="preserve">En relación a las entidades que formen parte del sector público estatal, autonómico o local el desarrollo reglamentario de las </w:t>
      </w:r>
      <w:r w:rsidRPr="006D3159">
        <w:rPr>
          <w:rFonts w:ascii="Arial" w:hAnsi="Arial" w:cs="Arial"/>
          <w:lang w:val="es-ES"/>
        </w:rPr>
        <w:t xml:space="preserve">Disposición adicional primera </w:t>
      </w:r>
      <w:r>
        <w:rPr>
          <w:rFonts w:ascii="Arial" w:hAnsi="Arial" w:cs="Arial"/>
          <w:lang w:val="es-ES"/>
        </w:rPr>
        <w:t xml:space="preserve">y segunda </w:t>
      </w:r>
      <w:r w:rsidRPr="006D3159">
        <w:rPr>
          <w:rFonts w:ascii="Arial" w:hAnsi="Arial" w:cs="Arial"/>
          <w:lang w:val="es-ES"/>
        </w:rPr>
        <w:t>del TRLAC</w:t>
      </w:r>
      <w:r>
        <w:rPr>
          <w:rFonts w:ascii="Arial" w:hAnsi="Arial" w:cs="Arial"/>
          <w:lang w:val="es-ES"/>
        </w:rPr>
        <w:t xml:space="preserve"> queda establecido en la Disposición adicional tercera y quinta del RTRLAC.  </w:t>
      </w:r>
    </w:p>
    <w:p w:rsidR="00692636" w:rsidRDefault="00692636" w:rsidP="00692636">
      <w:pPr>
        <w:spacing w:line="276" w:lineRule="auto"/>
        <w:ind w:left="0" w:firstLine="0"/>
        <w:rPr>
          <w:rFonts w:ascii="Arial" w:hAnsi="Arial" w:cs="Arial"/>
          <w:lang w:val="es-ES"/>
        </w:rPr>
      </w:pPr>
    </w:p>
    <w:p w:rsidR="00692636" w:rsidRDefault="00692636" w:rsidP="00692636">
      <w:pPr>
        <w:spacing w:line="276" w:lineRule="auto"/>
        <w:ind w:left="0" w:firstLine="0"/>
        <w:rPr>
          <w:rFonts w:ascii="Arial" w:hAnsi="Arial" w:cs="Arial"/>
          <w:lang w:val="es-ES"/>
        </w:rPr>
      </w:pPr>
      <w:r>
        <w:rPr>
          <w:rFonts w:ascii="Arial" w:hAnsi="Arial" w:cs="Arial"/>
          <w:lang w:val="es-ES"/>
        </w:rPr>
        <w:t>La Comisión de Auditores del Sector Público, constituida por las Corporaciones representativas de la actividad de auditores de cuentas, en la publicación de mayo de 2012 “Auditores del Sector Público” indica que de la Disposición adicional quinta del RTRLAC se desprende que:</w:t>
      </w:r>
    </w:p>
    <w:p w:rsidR="00692636" w:rsidRDefault="00692636" w:rsidP="00692636">
      <w:pPr>
        <w:ind w:left="0" w:right="-1" w:firstLine="0"/>
        <w:rPr>
          <w:rFonts w:ascii="Arial" w:hAnsi="Arial" w:cs="Arial"/>
          <w:lang w:val="es-ES"/>
        </w:rPr>
      </w:pPr>
    </w:p>
    <w:p w:rsidR="00692636" w:rsidRPr="00177705" w:rsidRDefault="00692636" w:rsidP="00692636">
      <w:pPr>
        <w:pBdr>
          <w:between w:val="single" w:sz="4" w:space="1" w:color="1F497D" w:themeColor="text2"/>
        </w:pBdr>
        <w:autoSpaceDE w:val="0"/>
        <w:autoSpaceDN w:val="0"/>
        <w:adjustRightInd w:val="0"/>
        <w:ind w:left="567" w:right="282" w:firstLine="0"/>
        <w:rPr>
          <w:rFonts w:ascii="Arial" w:hAnsi="Arial" w:cs="Arial"/>
          <w:sz w:val="20"/>
          <w:szCs w:val="20"/>
          <w:lang w:val="es-ES"/>
        </w:rPr>
      </w:pPr>
      <w:r w:rsidRPr="00177705">
        <w:rPr>
          <w:rFonts w:ascii="Arial" w:hAnsi="Arial" w:cs="Arial"/>
          <w:sz w:val="20"/>
          <w:szCs w:val="20"/>
          <w:lang w:val="es-ES"/>
        </w:rPr>
        <w:t>a) Los trabajos de auditoría de cuentas anuales y otros estados financieros o documentos contables del Sector Público desarrollados por los órganos de control público se rigen por las normas de auditoría del Sector Público.</w:t>
      </w:r>
    </w:p>
    <w:p w:rsidR="00692636" w:rsidRPr="00177705" w:rsidRDefault="00692636" w:rsidP="00692636">
      <w:pPr>
        <w:pBdr>
          <w:between w:val="single" w:sz="4" w:space="1" w:color="1F497D" w:themeColor="text2"/>
        </w:pBdr>
        <w:autoSpaceDE w:val="0"/>
        <w:autoSpaceDN w:val="0"/>
        <w:adjustRightInd w:val="0"/>
        <w:ind w:left="567" w:right="282" w:firstLine="0"/>
        <w:rPr>
          <w:rFonts w:ascii="Arial" w:hAnsi="Arial" w:cs="Arial"/>
          <w:sz w:val="20"/>
          <w:szCs w:val="20"/>
          <w:lang w:val="es-ES"/>
        </w:rPr>
      </w:pPr>
      <w:r w:rsidRPr="00177705">
        <w:rPr>
          <w:rFonts w:ascii="Arial" w:hAnsi="Arial" w:cs="Arial"/>
          <w:sz w:val="20"/>
          <w:szCs w:val="20"/>
          <w:lang w:val="es-ES"/>
        </w:rPr>
        <w:t>b) Lo mismo sucede con los trabajos de los auditores de cuentas que se enmarquen en la colaboración con dichos órganos de control público, que como regla general no podrán identificarse como de auditoría de cuentas.</w:t>
      </w:r>
    </w:p>
    <w:p w:rsidR="00692636" w:rsidRPr="00177705" w:rsidRDefault="00692636" w:rsidP="00692636">
      <w:pPr>
        <w:pBdr>
          <w:between w:val="single" w:sz="4" w:space="1" w:color="1F497D" w:themeColor="text2"/>
        </w:pBdr>
        <w:autoSpaceDE w:val="0"/>
        <w:autoSpaceDN w:val="0"/>
        <w:adjustRightInd w:val="0"/>
        <w:ind w:left="567" w:right="282" w:firstLine="0"/>
        <w:rPr>
          <w:rFonts w:ascii="Arial" w:hAnsi="Arial" w:cs="Arial"/>
          <w:sz w:val="20"/>
          <w:szCs w:val="20"/>
          <w:lang w:val="es-ES"/>
        </w:rPr>
      </w:pPr>
      <w:r w:rsidRPr="00177705">
        <w:rPr>
          <w:rFonts w:ascii="Arial" w:hAnsi="Arial" w:cs="Arial"/>
          <w:sz w:val="20"/>
          <w:szCs w:val="20"/>
          <w:lang w:val="es-ES"/>
        </w:rPr>
        <w:t>c) Actualmente, con carácter general, los auditores, podemos hacer trabajos si nos contratan los órganos públicos de control, en colaboración con ellos, y de acuerdo con el contenido del correspondiente pliego de cláusulas administrativas y técnicas, y de acuerdo a las Normas Técnicas de Auditoría del Sector Público.</w:t>
      </w:r>
    </w:p>
    <w:p w:rsidR="00692636" w:rsidRPr="00177705" w:rsidRDefault="00692636" w:rsidP="00692636">
      <w:pPr>
        <w:pBdr>
          <w:top w:val="single" w:sz="4" w:space="1" w:color="1F497D" w:themeColor="text2"/>
          <w:bottom w:val="single" w:sz="4" w:space="2" w:color="1F497D" w:themeColor="text2"/>
          <w:between w:val="single" w:sz="4" w:space="1" w:color="1F497D" w:themeColor="text2"/>
        </w:pBdr>
        <w:autoSpaceDE w:val="0"/>
        <w:autoSpaceDN w:val="0"/>
        <w:adjustRightInd w:val="0"/>
        <w:ind w:left="567" w:right="282" w:firstLine="0"/>
        <w:rPr>
          <w:rFonts w:ascii="Arial" w:hAnsi="Arial" w:cs="Arial"/>
          <w:sz w:val="20"/>
          <w:szCs w:val="20"/>
          <w:lang w:val="es-ES"/>
        </w:rPr>
      </w:pPr>
      <w:r w:rsidRPr="00177705">
        <w:rPr>
          <w:rFonts w:ascii="Arial" w:hAnsi="Arial" w:cs="Arial"/>
          <w:sz w:val="20"/>
          <w:szCs w:val="20"/>
          <w:lang w:val="es-ES"/>
        </w:rPr>
        <w:t xml:space="preserve">d) Los trabajos que realicen los auditores externos, no en colaboración con los órganos de control público, sino por encargo de entidades integrantes del Sector Público obligadas a someter sus cuentas a auditoría, se rigen por la normativa reguladora de la auditoría de cuentas. </w:t>
      </w:r>
    </w:p>
    <w:p w:rsidR="00692636" w:rsidRDefault="00692636" w:rsidP="00692636">
      <w:pPr>
        <w:ind w:left="0" w:right="-1" w:firstLine="0"/>
        <w:rPr>
          <w:rFonts w:ascii="Arial" w:hAnsi="Arial" w:cs="Arial"/>
          <w:b/>
          <w:color w:val="1F497D" w:themeColor="text2"/>
          <w:sz w:val="24"/>
          <w:szCs w:val="24"/>
          <w:lang w:val="es-ES"/>
        </w:rPr>
      </w:pPr>
    </w:p>
    <w:p w:rsidR="00647C84" w:rsidRDefault="00647C84" w:rsidP="00692636">
      <w:pPr>
        <w:ind w:left="0" w:right="-1" w:firstLine="0"/>
        <w:rPr>
          <w:rFonts w:ascii="Arial" w:hAnsi="Arial" w:cs="Arial"/>
          <w:b/>
          <w:color w:val="1F497D" w:themeColor="text2"/>
          <w:sz w:val="24"/>
          <w:szCs w:val="24"/>
          <w:lang w:val="es-ES"/>
        </w:rPr>
      </w:pPr>
    </w:p>
    <w:p w:rsidR="00647C84" w:rsidRDefault="00647C84" w:rsidP="00692636">
      <w:pPr>
        <w:ind w:left="0" w:right="-1" w:firstLine="0"/>
        <w:rPr>
          <w:rFonts w:ascii="Arial" w:hAnsi="Arial" w:cs="Arial"/>
          <w:b/>
          <w:color w:val="1F497D" w:themeColor="text2"/>
          <w:sz w:val="24"/>
          <w:szCs w:val="24"/>
          <w:lang w:val="es-ES"/>
        </w:rPr>
      </w:pPr>
    </w:p>
    <w:p w:rsidR="00692636" w:rsidRDefault="00692636" w:rsidP="00692636">
      <w:pPr>
        <w:ind w:left="0" w:right="-1" w:firstLine="0"/>
        <w:rPr>
          <w:rFonts w:ascii="Arial" w:hAnsi="Arial" w:cs="Arial"/>
          <w:b/>
          <w:color w:val="1F497D" w:themeColor="text2"/>
          <w:sz w:val="24"/>
          <w:szCs w:val="24"/>
          <w:lang w:val="es-ES"/>
        </w:rPr>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775"/>
        <w:gridCol w:w="7260"/>
        <w:gridCol w:w="518"/>
      </w:tblGrid>
      <w:tr w:rsidR="00692636" w:rsidTr="00FC33C5">
        <w:trPr>
          <w:cnfStyle w:val="000000100000"/>
        </w:trPr>
        <w:tc>
          <w:tcPr>
            <w:cnfStyle w:val="001000000000"/>
            <w:tcW w:w="775" w:type="dxa"/>
            <w:tcBorders>
              <w:top w:val="nil"/>
              <w:left w:val="nil"/>
              <w:bottom w:val="nil"/>
              <w:right w:val="nil"/>
            </w:tcBorders>
            <w:shd w:val="clear" w:color="auto" w:fill="DBE5F1" w:themeFill="accent1" w:themeFillTint="33"/>
          </w:tcPr>
          <w:p w:rsidR="00692636" w:rsidRDefault="00692636" w:rsidP="00FC33C5">
            <w:pPr>
              <w:ind w:left="0" w:right="-1" w:firstLine="0"/>
              <w:jc w:val="left"/>
              <w:rPr>
                <w:rFonts w:ascii="Arial" w:hAnsi="Arial" w:cs="Arial"/>
                <w:color w:val="1F497D" w:themeColor="text2"/>
                <w:lang w:val="es-ES"/>
              </w:rPr>
            </w:pPr>
            <w:r>
              <w:rPr>
                <w:rFonts w:ascii="Arial" w:hAnsi="Arial" w:cs="Arial"/>
                <w:color w:val="1F497D" w:themeColor="text2"/>
                <w:lang w:val="es-ES"/>
              </w:rPr>
              <w:lastRenderedPageBreak/>
              <w:t>3.2</w:t>
            </w:r>
          </w:p>
        </w:tc>
        <w:tc>
          <w:tcPr>
            <w:tcW w:w="7260" w:type="dxa"/>
            <w:tcBorders>
              <w:top w:val="nil"/>
              <w:left w:val="nil"/>
              <w:bottom w:val="nil"/>
              <w:right w:val="nil"/>
            </w:tcBorders>
            <w:shd w:val="clear" w:color="auto" w:fill="DBE5F1" w:themeFill="accent1" w:themeFillTint="33"/>
          </w:tcPr>
          <w:p w:rsidR="00692636" w:rsidRDefault="00692636"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Cuentas anuales consolidadas</w:t>
            </w:r>
          </w:p>
        </w:tc>
        <w:tc>
          <w:tcPr>
            <w:tcW w:w="518" w:type="dxa"/>
            <w:tcBorders>
              <w:top w:val="nil"/>
              <w:left w:val="nil"/>
              <w:bottom w:val="nil"/>
              <w:right w:val="nil"/>
            </w:tcBorders>
            <w:shd w:val="clear" w:color="auto" w:fill="DBE5F1" w:themeFill="accent1" w:themeFillTint="33"/>
          </w:tcPr>
          <w:p w:rsidR="00692636" w:rsidRDefault="00692636" w:rsidP="00FC33C5">
            <w:pPr>
              <w:ind w:left="0" w:right="-1" w:firstLine="0"/>
              <w:jc w:val="center"/>
              <w:cnfStyle w:val="000000100000"/>
              <w:rPr>
                <w:rFonts w:ascii="Arial" w:hAnsi="Arial" w:cs="Arial"/>
                <w:sz w:val="24"/>
                <w:szCs w:val="24"/>
                <w:lang w:val="es-ES"/>
              </w:rPr>
            </w:pPr>
          </w:p>
        </w:tc>
      </w:tr>
    </w:tbl>
    <w:p w:rsidR="00692636" w:rsidRDefault="00692636" w:rsidP="00692636">
      <w:pPr>
        <w:ind w:left="0" w:right="-1" w:firstLine="0"/>
        <w:rPr>
          <w:rFonts w:ascii="Arial" w:hAnsi="Arial" w:cs="Arial"/>
          <w:b/>
          <w:color w:val="1F497D" w:themeColor="text2"/>
          <w:sz w:val="24"/>
          <w:szCs w:val="24"/>
          <w:lang w:val="es-ES"/>
        </w:rPr>
      </w:pPr>
    </w:p>
    <w:p w:rsidR="00692636" w:rsidRPr="009C7EBD" w:rsidRDefault="00692636" w:rsidP="00692636">
      <w:pPr>
        <w:ind w:left="0" w:firstLine="0"/>
        <w:rPr>
          <w:rFonts w:ascii="Arial" w:hAnsi="Arial" w:cs="Arial"/>
          <w:lang w:val="es-ES"/>
        </w:rPr>
      </w:pPr>
      <w:r w:rsidRPr="009C7EBD">
        <w:rPr>
          <w:rFonts w:ascii="Arial" w:hAnsi="Arial" w:cs="Arial"/>
          <w:lang w:val="es-ES"/>
        </w:rPr>
        <w:t xml:space="preserve">El artículo 42.1 del Código de </w:t>
      </w:r>
      <w:r>
        <w:rPr>
          <w:rFonts w:ascii="Arial" w:hAnsi="Arial" w:cs="Arial"/>
          <w:lang w:val="es-ES"/>
        </w:rPr>
        <w:t>C</w:t>
      </w:r>
      <w:r w:rsidRPr="009C7EBD">
        <w:rPr>
          <w:rFonts w:ascii="Arial" w:hAnsi="Arial" w:cs="Arial"/>
          <w:lang w:val="es-ES"/>
        </w:rPr>
        <w:t>omercio establece que “toda sociedad dominante de un grupo de sociedades estará obligada a formular las cuentas anuales y el informe de gestión consolidados</w:t>
      </w:r>
      <w:r>
        <w:rPr>
          <w:rFonts w:ascii="Arial" w:hAnsi="Arial" w:cs="Arial"/>
          <w:lang w:val="es-ES"/>
        </w:rPr>
        <w:t xml:space="preserve"> (…)</w:t>
      </w:r>
      <w:r w:rsidRPr="009C7EBD">
        <w:rPr>
          <w:rFonts w:ascii="Arial" w:hAnsi="Arial" w:cs="Arial"/>
          <w:lang w:val="es-ES"/>
        </w:rPr>
        <w:t>”</w:t>
      </w:r>
      <w:r>
        <w:rPr>
          <w:rFonts w:ascii="Arial" w:hAnsi="Arial" w:cs="Arial"/>
          <w:lang w:val="es-ES"/>
        </w:rPr>
        <w:t xml:space="preserve"> y el artículo 42.4 del mismo Código indica que “</w:t>
      </w:r>
      <w:r w:rsidRPr="009C7EBD">
        <w:rPr>
          <w:rFonts w:ascii="Arial" w:hAnsi="Arial" w:cs="Arial"/>
          <w:lang w:val="es-ES"/>
        </w:rPr>
        <w:t>la junta general de la sociedad obligada a formular las cuentas anuales consolidadas deberá designar a los auditores de cuentas que habrán de controlar las cuentas anuales y el informe de gestión del grupo</w:t>
      </w:r>
      <w:r>
        <w:rPr>
          <w:rFonts w:ascii="Arial" w:hAnsi="Arial" w:cs="Arial"/>
          <w:lang w:val="es-ES"/>
        </w:rPr>
        <w:t xml:space="preserve"> (</w:t>
      </w:r>
      <w:r w:rsidRPr="009C7EBD">
        <w:rPr>
          <w:rFonts w:ascii="Arial" w:hAnsi="Arial" w:cs="Arial"/>
          <w:lang w:val="es-ES"/>
        </w:rPr>
        <w:t>....</w:t>
      </w:r>
      <w:r>
        <w:rPr>
          <w:rFonts w:ascii="Arial" w:hAnsi="Arial" w:cs="Arial"/>
          <w:lang w:val="es-ES"/>
        </w:rPr>
        <w:t>)</w:t>
      </w:r>
      <w:r w:rsidRPr="009C7EBD">
        <w:rPr>
          <w:rFonts w:ascii="Arial" w:hAnsi="Arial" w:cs="Arial"/>
          <w:lang w:val="es-ES"/>
        </w:rPr>
        <w:t>”</w:t>
      </w:r>
      <w:r>
        <w:rPr>
          <w:rFonts w:ascii="Arial" w:hAnsi="Arial" w:cs="Arial"/>
          <w:lang w:val="es-ES"/>
        </w:rPr>
        <w:t>.</w:t>
      </w:r>
    </w:p>
    <w:p w:rsidR="00692636" w:rsidRDefault="00692636" w:rsidP="00692636">
      <w:pPr>
        <w:pStyle w:val="NormalWeb"/>
        <w:spacing w:before="0" w:beforeAutospacing="0" w:after="0" w:afterAutospacing="0"/>
        <w:jc w:val="both"/>
        <w:rPr>
          <w:rFonts w:ascii="Arial" w:eastAsiaTheme="minorHAnsi" w:hAnsi="Arial" w:cs="Arial"/>
          <w:sz w:val="22"/>
          <w:szCs w:val="22"/>
          <w:lang w:eastAsia="en-US"/>
        </w:rPr>
      </w:pPr>
    </w:p>
    <w:p w:rsidR="00692636" w:rsidRDefault="00692636" w:rsidP="00692636">
      <w:pPr>
        <w:pStyle w:val="NormalWeb"/>
        <w:spacing w:before="0" w:beforeAutospacing="0" w:after="0" w:afterAutospacing="0"/>
        <w:jc w:val="both"/>
        <w:rPr>
          <w:rFonts w:ascii="Arial" w:hAnsi="Arial" w:cs="Arial"/>
          <w:sz w:val="22"/>
          <w:szCs w:val="22"/>
        </w:rPr>
      </w:pPr>
      <w:r w:rsidRPr="003F27C1">
        <w:rPr>
          <w:rFonts w:ascii="Arial" w:eastAsiaTheme="minorHAnsi" w:hAnsi="Arial" w:cs="Arial"/>
          <w:sz w:val="22"/>
          <w:szCs w:val="22"/>
          <w:lang w:eastAsia="en-US"/>
        </w:rPr>
        <w:t>El mismo</w:t>
      </w:r>
      <w:r>
        <w:rPr>
          <w:rFonts w:ascii="Arial" w:eastAsiaTheme="minorHAnsi" w:hAnsi="Arial" w:cs="Arial"/>
          <w:sz w:val="22"/>
          <w:szCs w:val="22"/>
          <w:lang w:eastAsia="en-US"/>
        </w:rPr>
        <w:t xml:space="preserve"> artí</w:t>
      </w:r>
      <w:r w:rsidRPr="003F27C1">
        <w:rPr>
          <w:rFonts w:ascii="Arial" w:eastAsiaTheme="minorHAnsi" w:hAnsi="Arial" w:cs="Arial"/>
          <w:sz w:val="22"/>
          <w:szCs w:val="22"/>
          <w:lang w:eastAsia="en-US"/>
        </w:rPr>
        <w:t>culo 42.1</w:t>
      </w:r>
      <w:r w:rsidRPr="003F27C1">
        <w:rPr>
          <w:rFonts w:ascii="Arial" w:hAnsi="Arial" w:cs="Arial"/>
          <w:sz w:val="22"/>
          <w:szCs w:val="22"/>
        </w:rPr>
        <w:t xml:space="preserve">del Código de </w:t>
      </w:r>
      <w:r>
        <w:rPr>
          <w:rFonts w:ascii="Arial" w:hAnsi="Arial" w:cs="Arial"/>
          <w:sz w:val="22"/>
          <w:szCs w:val="22"/>
        </w:rPr>
        <w:t>C</w:t>
      </w:r>
      <w:r w:rsidRPr="003F27C1">
        <w:rPr>
          <w:rFonts w:ascii="Arial" w:hAnsi="Arial" w:cs="Arial"/>
          <w:sz w:val="22"/>
          <w:szCs w:val="22"/>
        </w:rPr>
        <w:t xml:space="preserve">omercio indica que existe un grupo “cuando una sociedad ostente o pueda ostentar, directa o indirectamente, el control de otra u otras”. </w:t>
      </w:r>
    </w:p>
    <w:p w:rsidR="00692636" w:rsidRDefault="00692636" w:rsidP="00692636">
      <w:pPr>
        <w:pStyle w:val="NormalWeb"/>
        <w:spacing w:before="0" w:beforeAutospacing="0" w:after="0" w:afterAutospacing="0"/>
        <w:jc w:val="both"/>
        <w:rPr>
          <w:rFonts w:ascii="Arial" w:hAnsi="Arial" w:cs="Arial"/>
          <w:sz w:val="22"/>
          <w:szCs w:val="22"/>
        </w:rPr>
      </w:pPr>
    </w:p>
    <w:p w:rsidR="00692636" w:rsidRDefault="00692636" w:rsidP="00692636">
      <w:pPr>
        <w:pStyle w:val="NormalWeb"/>
        <w:spacing w:before="0" w:beforeAutospacing="0" w:after="0" w:afterAutospacing="0"/>
        <w:jc w:val="both"/>
        <w:rPr>
          <w:rFonts w:ascii="Arial" w:hAnsi="Arial" w:cs="Arial"/>
          <w:sz w:val="22"/>
          <w:szCs w:val="22"/>
        </w:rPr>
      </w:pPr>
      <w:r w:rsidRPr="003F27C1">
        <w:rPr>
          <w:rFonts w:ascii="Arial" w:hAnsi="Arial" w:cs="Arial"/>
          <w:sz w:val="22"/>
          <w:szCs w:val="22"/>
        </w:rPr>
        <w:t>Asimismo indica que</w:t>
      </w:r>
      <w:r>
        <w:rPr>
          <w:rFonts w:ascii="Arial" w:hAnsi="Arial" w:cs="Arial"/>
          <w:sz w:val="22"/>
          <w:szCs w:val="22"/>
        </w:rPr>
        <w:t>,</w:t>
      </w:r>
      <w:r w:rsidRPr="003F27C1">
        <w:rPr>
          <w:rFonts w:ascii="Arial" w:hAnsi="Arial" w:cs="Arial"/>
          <w:sz w:val="22"/>
          <w:szCs w:val="22"/>
        </w:rPr>
        <w:t xml:space="preserve"> en particular, se presumirá que existe control cuando una sociedad, que se calificará como dominante, se encuentre en relación con otra sociedad, que se calificará como dependiente, en alguna de las siguientes situaciones:</w:t>
      </w:r>
    </w:p>
    <w:p w:rsidR="00692636" w:rsidRPr="003F27C1" w:rsidRDefault="00692636" w:rsidP="00692636">
      <w:pPr>
        <w:pStyle w:val="NormalWeb"/>
        <w:spacing w:before="0" w:beforeAutospacing="0" w:after="0" w:afterAutospacing="0"/>
        <w:jc w:val="both"/>
        <w:rPr>
          <w:rFonts w:ascii="Arial" w:hAnsi="Arial" w:cs="Arial"/>
          <w:sz w:val="22"/>
          <w:szCs w:val="22"/>
        </w:rPr>
      </w:pPr>
    </w:p>
    <w:p w:rsidR="00692636" w:rsidRPr="003F27C1" w:rsidRDefault="00692636" w:rsidP="00692636">
      <w:pPr>
        <w:pStyle w:val="NormalWeb"/>
        <w:numPr>
          <w:ilvl w:val="0"/>
          <w:numId w:val="5"/>
        </w:numPr>
        <w:pBdr>
          <w:bottom w:val="single" w:sz="4" w:space="1" w:color="1F497D" w:themeColor="text2"/>
          <w:between w:val="single" w:sz="4" w:space="1" w:color="1F497D" w:themeColor="text2"/>
        </w:pBdr>
        <w:spacing w:before="0" w:beforeAutospacing="0" w:after="0" w:afterAutospacing="0"/>
        <w:ind w:left="714" w:right="282" w:hanging="357"/>
        <w:jc w:val="both"/>
        <w:rPr>
          <w:rFonts w:ascii="Arial" w:hAnsi="Arial" w:cs="Arial"/>
          <w:sz w:val="20"/>
          <w:szCs w:val="20"/>
        </w:rPr>
      </w:pPr>
      <w:r w:rsidRPr="003F27C1">
        <w:rPr>
          <w:rFonts w:ascii="Arial" w:hAnsi="Arial" w:cs="Arial"/>
          <w:sz w:val="20"/>
          <w:szCs w:val="20"/>
        </w:rPr>
        <w:t>Posea la mayoría de los derechos de voto.</w:t>
      </w:r>
    </w:p>
    <w:p w:rsidR="00692636" w:rsidRDefault="00692636" w:rsidP="00692636">
      <w:pPr>
        <w:pStyle w:val="NormalWeb"/>
        <w:numPr>
          <w:ilvl w:val="0"/>
          <w:numId w:val="5"/>
        </w:numPr>
        <w:pBdr>
          <w:bottom w:val="single" w:sz="4" w:space="1" w:color="1F497D" w:themeColor="text2"/>
          <w:between w:val="single" w:sz="4" w:space="1" w:color="1F497D" w:themeColor="text2"/>
        </w:pBdr>
        <w:spacing w:before="0" w:beforeAutospacing="0" w:after="0" w:afterAutospacing="0"/>
        <w:ind w:left="714" w:right="282" w:hanging="357"/>
        <w:jc w:val="both"/>
        <w:rPr>
          <w:rFonts w:ascii="Arial" w:hAnsi="Arial" w:cs="Arial"/>
          <w:sz w:val="20"/>
          <w:szCs w:val="20"/>
        </w:rPr>
      </w:pPr>
      <w:r w:rsidRPr="003F27C1">
        <w:rPr>
          <w:rFonts w:ascii="Arial" w:hAnsi="Arial" w:cs="Arial"/>
          <w:sz w:val="20"/>
          <w:szCs w:val="20"/>
        </w:rPr>
        <w:t>Tenga la facultad de nombrar o destituir a la mayoría de los miembros del órgano de administración.</w:t>
      </w:r>
    </w:p>
    <w:p w:rsidR="00692636" w:rsidRPr="003F27C1" w:rsidRDefault="00692636" w:rsidP="00692636">
      <w:pPr>
        <w:pStyle w:val="NormalWeb"/>
        <w:numPr>
          <w:ilvl w:val="0"/>
          <w:numId w:val="5"/>
        </w:numPr>
        <w:pBdr>
          <w:bottom w:val="single" w:sz="4" w:space="1" w:color="1F497D" w:themeColor="text2"/>
          <w:between w:val="single" w:sz="4" w:space="1" w:color="1F497D" w:themeColor="text2"/>
        </w:pBdr>
        <w:spacing w:before="0" w:beforeAutospacing="0" w:after="0" w:afterAutospacing="0"/>
        <w:ind w:left="714" w:right="282" w:hanging="357"/>
        <w:jc w:val="both"/>
        <w:rPr>
          <w:rFonts w:ascii="Arial" w:hAnsi="Arial" w:cs="Arial"/>
          <w:sz w:val="20"/>
          <w:szCs w:val="20"/>
        </w:rPr>
      </w:pPr>
      <w:r w:rsidRPr="003F27C1">
        <w:rPr>
          <w:rFonts w:ascii="Arial" w:hAnsi="Arial" w:cs="Arial"/>
          <w:sz w:val="20"/>
          <w:szCs w:val="20"/>
        </w:rPr>
        <w:t>Pueda disponer, en virtud de acuerdos celebrados con terceros, de la mayoría de los derechos de voto.</w:t>
      </w:r>
    </w:p>
    <w:p w:rsidR="00692636" w:rsidRPr="003F27C1" w:rsidRDefault="00692636" w:rsidP="00692636">
      <w:pPr>
        <w:pStyle w:val="NormalWeb"/>
        <w:numPr>
          <w:ilvl w:val="0"/>
          <w:numId w:val="5"/>
        </w:numPr>
        <w:pBdr>
          <w:bottom w:val="single" w:sz="4" w:space="1" w:color="1F497D" w:themeColor="text2"/>
          <w:between w:val="single" w:sz="4" w:space="1" w:color="1F497D" w:themeColor="text2"/>
        </w:pBdr>
        <w:spacing w:before="0" w:beforeAutospacing="0" w:after="0" w:afterAutospacing="0"/>
        <w:ind w:left="714" w:right="282" w:hanging="357"/>
        <w:jc w:val="both"/>
        <w:rPr>
          <w:rFonts w:ascii="Arial" w:hAnsi="Arial" w:cs="Arial"/>
          <w:sz w:val="20"/>
          <w:szCs w:val="20"/>
        </w:rPr>
      </w:pPr>
      <w:r w:rsidRPr="003F27C1">
        <w:rPr>
          <w:rFonts w:ascii="Arial" w:hAnsi="Arial" w:cs="Arial"/>
          <w:sz w:val="20"/>
          <w:szCs w:val="20"/>
        </w:rPr>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w:t>
      </w:r>
      <w:r>
        <w:rPr>
          <w:rFonts w:ascii="Arial" w:hAnsi="Arial" w:cs="Arial"/>
          <w:sz w:val="20"/>
          <w:szCs w:val="20"/>
        </w:rPr>
        <w:t>,</w:t>
      </w:r>
      <w:r w:rsidRPr="003F27C1">
        <w:rPr>
          <w:rFonts w:ascii="Arial" w:hAnsi="Arial" w:cs="Arial"/>
          <w:sz w:val="20"/>
          <w:szCs w:val="20"/>
        </w:rPr>
        <w:t xml:space="preserve"> cuyos administradores han sido nombrados, está vinculada a otra en alguno de los casos previstos en las dos primeras letras de este apartado.</w:t>
      </w:r>
    </w:p>
    <w:p w:rsidR="00692636" w:rsidRDefault="00692636" w:rsidP="00692636">
      <w:pPr>
        <w:pStyle w:val="NormalWeb"/>
        <w:spacing w:before="0" w:beforeAutospacing="0" w:after="0" w:afterAutospacing="0"/>
        <w:rPr>
          <w:rFonts w:ascii="Arial" w:hAnsi="Arial" w:cs="Arial"/>
          <w:sz w:val="22"/>
          <w:szCs w:val="22"/>
        </w:rPr>
      </w:pPr>
    </w:p>
    <w:p w:rsidR="00692636" w:rsidRPr="003F27C1" w:rsidRDefault="00692636" w:rsidP="00692636">
      <w:pPr>
        <w:pStyle w:val="NormalWeb"/>
        <w:spacing w:before="0" w:beforeAutospacing="0" w:after="0" w:afterAutospacing="0"/>
        <w:ind w:left="284" w:right="282"/>
        <w:jc w:val="both"/>
        <w:rPr>
          <w:rFonts w:ascii="Arial" w:hAnsi="Arial" w:cs="Arial"/>
          <w:sz w:val="22"/>
          <w:szCs w:val="22"/>
        </w:rPr>
      </w:pPr>
      <w:r w:rsidRPr="003F27C1">
        <w:rPr>
          <w:rFonts w:ascii="Arial" w:hAnsi="Arial" w:cs="Arial"/>
          <w:sz w:val="20"/>
          <w:szCs w:val="20"/>
        </w:rPr>
        <w:t>A los efectos de este apartado, a los derechos de voto de la entidad dominante se añadirán los que posea a través de otras sociedades dependientes o a través de personas que actúen en su propio nombre pero por cuenta de la entidad dominante o de otras dependientes o aquellos de los que disponga concertadamente con cualquier otra persona</w:t>
      </w:r>
      <w:r w:rsidRPr="003F27C1">
        <w:rPr>
          <w:rFonts w:ascii="Arial" w:hAnsi="Arial" w:cs="Arial"/>
          <w:sz w:val="22"/>
          <w:szCs w:val="22"/>
        </w:rPr>
        <w:t>.</w:t>
      </w:r>
    </w:p>
    <w:p w:rsidR="00692636" w:rsidRDefault="00692636" w:rsidP="00692636">
      <w:pPr>
        <w:ind w:left="0" w:firstLine="0"/>
        <w:rPr>
          <w:rFonts w:ascii="Arial" w:hAnsi="Arial" w:cs="Arial"/>
          <w:b/>
          <w:color w:val="1F497D" w:themeColor="text2"/>
          <w:sz w:val="24"/>
          <w:szCs w:val="24"/>
          <w:lang w:val="es-ES"/>
        </w:rPr>
      </w:pPr>
    </w:p>
    <w:p w:rsidR="00692636" w:rsidRPr="00844501" w:rsidRDefault="00692636" w:rsidP="00692636">
      <w:pPr>
        <w:ind w:left="0" w:firstLine="0"/>
        <w:rPr>
          <w:rFonts w:ascii="Arial" w:hAnsi="Arial" w:cs="Arial"/>
          <w:lang w:val="es-ES"/>
        </w:rPr>
      </w:pPr>
      <w:r w:rsidRPr="00844501">
        <w:rPr>
          <w:rFonts w:ascii="Arial" w:hAnsi="Arial" w:cs="Arial"/>
          <w:lang w:val="es-ES"/>
        </w:rPr>
        <w:t xml:space="preserve">El artículo 43 del Código de </w:t>
      </w:r>
      <w:r>
        <w:rPr>
          <w:rFonts w:ascii="Arial" w:hAnsi="Arial" w:cs="Arial"/>
          <w:lang w:val="es-ES"/>
        </w:rPr>
        <w:t>C</w:t>
      </w:r>
      <w:r w:rsidRPr="00844501">
        <w:rPr>
          <w:rFonts w:ascii="Arial" w:hAnsi="Arial" w:cs="Arial"/>
          <w:lang w:val="es-ES"/>
        </w:rPr>
        <w:t>omercio regula las siguientes exenciones a la formulación de cuentas anuales consolidadas:</w:t>
      </w:r>
    </w:p>
    <w:p w:rsidR="00692636" w:rsidRPr="009C7EBD" w:rsidRDefault="00692636" w:rsidP="00692636">
      <w:pPr>
        <w:pStyle w:val="NormalWeb"/>
        <w:numPr>
          <w:ilvl w:val="0"/>
          <w:numId w:val="4"/>
        </w:numPr>
        <w:pBdr>
          <w:between w:val="single" w:sz="4" w:space="1" w:color="1F497D" w:themeColor="text2"/>
        </w:pBdr>
        <w:ind w:right="424"/>
        <w:jc w:val="both"/>
        <w:rPr>
          <w:rFonts w:ascii="Arial" w:hAnsi="Arial" w:cs="Arial"/>
          <w:sz w:val="20"/>
          <w:szCs w:val="20"/>
        </w:rPr>
      </w:pPr>
      <w:r w:rsidRPr="009C7EBD">
        <w:rPr>
          <w:rFonts w:ascii="Arial" w:hAnsi="Arial" w:cs="Arial"/>
          <w:sz w:val="20"/>
          <w:szCs w:val="20"/>
        </w:rPr>
        <w:t>Cuando en la fecha de cierre del ejercicio de la sociedad obligada a consolidar el conjunto de las sociedades no sobrepase, en sus últimas cuentas anuales, dos de los límites señalados en el TRLSC para la formulación de cuenta de pérdidas y ganancias abreviada, salvo que alguna de las sociedades del grupo haya emitido valores admitidos a negociación en un mercado regulado de cualquier Estado miembro de la Unión Europea.</w:t>
      </w:r>
    </w:p>
    <w:p w:rsidR="00692636" w:rsidRDefault="00692636" w:rsidP="00692636">
      <w:pPr>
        <w:pStyle w:val="NormalWeb"/>
        <w:numPr>
          <w:ilvl w:val="0"/>
          <w:numId w:val="4"/>
        </w:numPr>
        <w:pBdr>
          <w:between w:val="single" w:sz="4" w:space="1" w:color="1F497D" w:themeColor="text2"/>
        </w:pBdr>
        <w:ind w:right="424"/>
        <w:jc w:val="both"/>
        <w:rPr>
          <w:rFonts w:ascii="Arial" w:hAnsi="Arial" w:cs="Arial"/>
          <w:sz w:val="20"/>
          <w:szCs w:val="20"/>
        </w:rPr>
      </w:pPr>
      <w:r w:rsidRPr="009C7EBD">
        <w:rPr>
          <w:rFonts w:ascii="Arial" w:hAnsi="Arial" w:cs="Arial"/>
          <w:sz w:val="20"/>
          <w:szCs w:val="20"/>
        </w:rPr>
        <w:t>Cuando la sociedad obligada a consolidar sometida a la legislación española sea al mismo tiempo dependiente de otra que se rija por dicha legislación o por la de otro Estado miembro de la Unión Europea, si e</w:t>
      </w:r>
      <w:r>
        <w:rPr>
          <w:rFonts w:ascii="Arial" w:hAnsi="Arial" w:cs="Arial"/>
          <w:sz w:val="20"/>
          <w:szCs w:val="20"/>
        </w:rPr>
        <w:t>sta última sociedad posee el 50</w:t>
      </w:r>
      <w:r w:rsidRPr="009C7EBD">
        <w:rPr>
          <w:rFonts w:ascii="Arial" w:hAnsi="Arial" w:cs="Arial"/>
          <w:sz w:val="20"/>
          <w:szCs w:val="20"/>
        </w:rPr>
        <w:t>% o más de las participaciones sociales de aquéllas y, los accionistas o soc</w:t>
      </w:r>
      <w:r>
        <w:rPr>
          <w:rFonts w:ascii="Arial" w:hAnsi="Arial" w:cs="Arial"/>
          <w:sz w:val="20"/>
          <w:szCs w:val="20"/>
        </w:rPr>
        <w:t>ios que posean, al menos, el 10</w:t>
      </w:r>
      <w:r w:rsidRPr="009C7EBD">
        <w:rPr>
          <w:rFonts w:ascii="Arial" w:hAnsi="Arial" w:cs="Arial"/>
          <w:sz w:val="20"/>
          <w:szCs w:val="20"/>
        </w:rPr>
        <w:t>% no hayan solicitado la formulación de cuentas consolidadas 6 meses antes del cierre del ejercicio. En todo caso será preciso que se cumplan los requisitos siguientes:</w:t>
      </w:r>
    </w:p>
    <w:p w:rsidR="00C9017D" w:rsidRPr="009C7EBD" w:rsidRDefault="00C9017D" w:rsidP="00C9017D">
      <w:pPr>
        <w:pStyle w:val="NormalWeb"/>
        <w:pBdr>
          <w:between w:val="single" w:sz="4" w:space="1" w:color="1F497D" w:themeColor="text2"/>
        </w:pBdr>
        <w:ind w:right="424"/>
        <w:jc w:val="both"/>
        <w:rPr>
          <w:rFonts w:ascii="Arial" w:hAnsi="Arial" w:cs="Arial"/>
          <w:sz w:val="20"/>
          <w:szCs w:val="20"/>
        </w:rPr>
      </w:pPr>
    </w:p>
    <w:p w:rsidR="00692636" w:rsidRPr="009C7EBD" w:rsidRDefault="00692636" w:rsidP="00692636">
      <w:pPr>
        <w:pStyle w:val="NormalWeb"/>
        <w:numPr>
          <w:ilvl w:val="1"/>
          <w:numId w:val="4"/>
        </w:numPr>
        <w:pBdr>
          <w:bottom w:val="single" w:sz="4" w:space="1" w:color="1F497D" w:themeColor="text2"/>
          <w:between w:val="single" w:sz="4" w:space="1" w:color="1F497D" w:themeColor="text2"/>
        </w:pBdr>
        <w:ind w:right="424"/>
        <w:jc w:val="both"/>
        <w:rPr>
          <w:rFonts w:ascii="Arial" w:hAnsi="Arial" w:cs="Arial"/>
          <w:sz w:val="20"/>
          <w:szCs w:val="20"/>
        </w:rPr>
      </w:pPr>
      <w:r w:rsidRPr="009C7EBD">
        <w:rPr>
          <w:rFonts w:ascii="Arial" w:hAnsi="Arial" w:cs="Arial"/>
          <w:sz w:val="20"/>
          <w:szCs w:val="20"/>
        </w:rPr>
        <w:lastRenderedPageBreak/>
        <w:t>Que la sociedad dispensada de formalizar la consolidación, así como todas las sociedades que debiera incluir en la consolidación, se consoliden en las cuentas de un grupo mayor, cuya sociedad dominante esté sometida a la legislación de un Estado miembro de la Unión Europea.</w:t>
      </w:r>
    </w:p>
    <w:p w:rsidR="00692636" w:rsidRPr="009C7EBD" w:rsidRDefault="00692636" w:rsidP="00692636">
      <w:pPr>
        <w:pStyle w:val="NormalWeb"/>
        <w:numPr>
          <w:ilvl w:val="1"/>
          <w:numId w:val="4"/>
        </w:numPr>
        <w:pBdr>
          <w:bottom w:val="single" w:sz="4" w:space="1" w:color="1F497D" w:themeColor="text2"/>
          <w:between w:val="single" w:sz="4" w:space="1" w:color="1F497D" w:themeColor="text2"/>
        </w:pBdr>
        <w:ind w:right="424"/>
        <w:jc w:val="both"/>
        <w:rPr>
          <w:rFonts w:ascii="Arial" w:hAnsi="Arial" w:cs="Arial"/>
          <w:sz w:val="20"/>
          <w:szCs w:val="20"/>
        </w:rPr>
      </w:pPr>
      <w:r w:rsidRPr="009C7EBD">
        <w:rPr>
          <w:rFonts w:ascii="Arial" w:hAnsi="Arial" w:cs="Arial"/>
          <w:sz w:val="20"/>
          <w:szCs w:val="20"/>
        </w:rPr>
        <w:t>Que la sociedad dispensada de formalizar la consolidación indique en sus cuentas la mención de estar exenta de la obligación de establecer las cuentas consolidadas, el grupo al que pertenece, la razón social y el domicilio de la sociedad dominante.</w:t>
      </w:r>
    </w:p>
    <w:p w:rsidR="00692636" w:rsidRDefault="00692636" w:rsidP="00692636">
      <w:pPr>
        <w:pStyle w:val="NormalWeb"/>
        <w:numPr>
          <w:ilvl w:val="1"/>
          <w:numId w:val="4"/>
        </w:numPr>
        <w:pBdr>
          <w:bottom w:val="single" w:sz="4" w:space="1" w:color="1F497D" w:themeColor="text2"/>
          <w:between w:val="single" w:sz="4" w:space="1" w:color="1F497D" w:themeColor="text2"/>
        </w:pBdr>
        <w:ind w:right="424"/>
        <w:jc w:val="both"/>
        <w:rPr>
          <w:rFonts w:ascii="Arial" w:hAnsi="Arial" w:cs="Arial"/>
          <w:sz w:val="20"/>
          <w:szCs w:val="20"/>
        </w:rPr>
      </w:pPr>
      <w:r w:rsidRPr="009C7EBD">
        <w:rPr>
          <w:rFonts w:ascii="Arial" w:hAnsi="Arial" w:cs="Arial"/>
          <w:sz w:val="20"/>
          <w:szCs w:val="20"/>
        </w:rPr>
        <w:t>Que las cuentas consolidadas de la sociedad dominante, así como el informe de gestión y el informe de los auditores, se depositen en el Registro Mercantil, traducidos a alguna de las lenguas oficiales de la Comunidad Autónoma, donde tenga su domicilio la sociedad dispensada.</w:t>
      </w:r>
    </w:p>
    <w:p w:rsidR="00692636" w:rsidRDefault="00692636" w:rsidP="00692636">
      <w:pPr>
        <w:pStyle w:val="NormalWeb"/>
        <w:numPr>
          <w:ilvl w:val="1"/>
          <w:numId w:val="4"/>
        </w:numPr>
        <w:pBdr>
          <w:between w:val="single" w:sz="4" w:space="1" w:color="1F497D" w:themeColor="text2"/>
        </w:pBdr>
        <w:spacing w:before="0" w:beforeAutospacing="0" w:after="0" w:afterAutospacing="0"/>
        <w:ind w:left="1434" w:right="425" w:hanging="357"/>
        <w:jc w:val="both"/>
        <w:rPr>
          <w:rFonts w:ascii="Arial" w:hAnsi="Arial" w:cs="Arial"/>
          <w:sz w:val="20"/>
          <w:szCs w:val="20"/>
        </w:rPr>
      </w:pPr>
      <w:r w:rsidRPr="00C031C0">
        <w:rPr>
          <w:rFonts w:ascii="Arial" w:hAnsi="Arial" w:cs="Arial"/>
          <w:sz w:val="20"/>
          <w:szCs w:val="20"/>
        </w:rPr>
        <w:t>Que la sociedad dispensada de formalizar la consolidación no haya emitido valores admitidos a negociación en un mercado regulado de cualquier Estado miembro de la Unión Europea.</w:t>
      </w:r>
    </w:p>
    <w:p w:rsidR="00692636" w:rsidRPr="00F7175D" w:rsidRDefault="00692636" w:rsidP="00692636">
      <w:pPr>
        <w:pStyle w:val="NormalWeb"/>
        <w:pBdr>
          <w:bottom w:val="single" w:sz="4" w:space="1" w:color="1F497D" w:themeColor="text2"/>
          <w:between w:val="single" w:sz="4" w:space="1" w:color="1F497D" w:themeColor="text2"/>
        </w:pBdr>
        <w:spacing w:before="0" w:beforeAutospacing="0" w:after="0" w:afterAutospacing="0"/>
        <w:ind w:left="284" w:right="425"/>
        <w:jc w:val="both"/>
        <w:rPr>
          <w:rFonts w:ascii="Arial" w:hAnsi="Arial" w:cs="Arial"/>
          <w:sz w:val="16"/>
          <w:szCs w:val="16"/>
        </w:rPr>
      </w:pPr>
    </w:p>
    <w:p w:rsidR="00692636" w:rsidRPr="00F7175D" w:rsidRDefault="00692636" w:rsidP="00692636">
      <w:pPr>
        <w:pStyle w:val="NormalWeb"/>
        <w:spacing w:before="0" w:beforeAutospacing="0" w:after="0" w:afterAutospacing="0"/>
        <w:ind w:right="425"/>
        <w:jc w:val="both"/>
        <w:rPr>
          <w:rFonts w:ascii="Arial" w:hAnsi="Arial" w:cs="Arial"/>
          <w:sz w:val="16"/>
          <w:szCs w:val="16"/>
        </w:rPr>
      </w:pPr>
    </w:p>
    <w:p w:rsidR="00692636" w:rsidRDefault="00692636" w:rsidP="00692636">
      <w:pPr>
        <w:ind w:left="0" w:right="-1" w:firstLine="0"/>
        <w:rPr>
          <w:rFonts w:ascii="Arial" w:hAnsi="Arial" w:cs="Arial"/>
          <w:lang w:val="es-ES"/>
        </w:rPr>
      </w:pPr>
    </w:p>
    <w:p w:rsidR="00692636" w:rsidRPr="00C031C0" w:rsidRDefault="00692636" w:rsidP="00692636">
      <w:pPr>
        <w:pBdr>
          <w:between w:val="single" w:sz="4" w:space="1" w:color="1F497D" w:themeColor="text2"/>
        </w:pBdr>
        <w:ind w:left="0" w:right="-1" w:firstLine="0"/>
        <w:rPr>
          <w:rFonts w:ascii="Arial" w:hAnsi="Arial" w:cs="Arial"/>
          <w:lang w:val="es-ES"/>
        </w:rPr>
      </w:pPr>
      <w:r w:rsidRPr="00F7175D">
        <w:rPr>
          <w:rFonts w:ascii="Arial" w:hAnsi="Arial" w:cs="Arial"/>
          <w:lang w:val="es-ES"/>
        </w:rPr>
        <w:t>El artículo 7 de</w:t>
      </w:r>
      <w:r>
        <w:rPr>
          <w:rFonts w:ascii="Arial" w:hAnsi="Arial" w:cs="Arial"/>
          <w:lang w:val="es-ES"/>
        </w:rPr>
        <w:t xml:space="preserve"> </w:t>
      </w:r>
      <w:r w:rsidRPr="00F7175D">
        <w:rPr>
          <w:rFonts w:ascii="Arial" w:hAnsi="Arial" w:cs="Arial"/>
          <w:lang w:val="es-ES"/>
        </w:rPr>
        <w:t>l</w:t>
      </w:r>
      <w:r>
        <w:rPr>
          <w:rFonts w:ascii="Arial" w:hAnsi="Arial" w:cs="Arial"/>
          <w:lang w:val="es-ES"/>
        </w:rPr>
        <w:t>as Normas para la Formulación de las Cuentas Anuales Consolidadas aprobadas por</w:t>
      </w:r>
      <w:r w:rsidRPr="00F7175D">
        <w:rPr>
          <w:rFonts w:ascii="Arial" w:hAnsi="Arial" w:cs="Arial"/>
          <w:lang w:val="es-ES"/>
        </w:rPr>
        <w:t xml:space="preserve"> Real Decreto 1159/2010, de 17 de septiembre añade una dispensa</w:t>
      </w:r>
      <w:r w:rsidRPr="00C031C0">
        <w:rPr>
          <w:rFonts w:ascii="Arial" w:hAnsi="Arial" w:cs="Arial"/>
          <w:lang w:val="es-ES"/>
        </w:rPr>
        <w:t xml:space="preserve"> más a las anteriormente mencionadas que es el hecho de que “la sociedad obligada a consolidar participe exclusivamente en sociedades dependientes que no posean interés significativo, individualmente y en conjunto, para la imagen fiel del patrimonio, de la situación financiera y de los resultados de las sociedades del grupo”.</w:t>
      </w:r>
    </w:p>
    <w:p w:rsidR="00692636" w:rsidRPr="005A71FC" w:rsidRDefault="00692636" w:rsidP="00692636">
      <w:pPr>
        <w:ind w:left="0" w:firstLine="0"/>
        <w:rPr>
          <w:rFonts w:ascii="Arial" w:hAnsi="Arial" w:cs="Arial"/>
          <w:b/>
          <w:color w:val="1F497D" w:themeColor="text2"/>
          <w:sz w:val="20"/>
          <w:szCs w:val="20"/>
          <w:lang w:val="es-ES"/>
        </w:rPr>
      </w:pPr>
    </w:p>
    <w:p w:rsidR="00692636" w:rsidRDefault="00692636" w:rsidP="00692636">
      <w:pPr>
        <w:ind w:left="0" w:firstLine="0"/>
        <w:rPr>
          <w:rFonts w:ascii="Arial" w:hAnsi="Arial" w:cs="Arial"/>
          <w:lang w:val="es-ES"/>
        </w:rPr>
      </w:pPr>
      <w:r w:rsidRPr="005A71FC">
        <w:rPr>
          <w:rFonts w:ascii="Arial" w:hAnsi="Arial" w:cs="Arial"/>
          <w:lang w:val="es-ES"/>
        </w:rPr>
        <w:t xml:space="preserve">Los límites a los que se refiere el artículo 43.1 del Código de </w:t>
      </w:r>
      <w:r>
        <w:rPr>
          <w:rFonts w:ascii="Arial" w:hAnsi="Arial" w:cs="Arial"/>
          <w:lang w:val="es-ES"/>
        </w:rPr>
        <w:t>C</w:t>
      </w:r>
      <w:r w:rsidRPr="005A71FC">
        <w:rPr>
          <w:rFonts w:ascii="Arial" w:hAnsi="Arial" w:cs="Arial"/>
          <w:lang w:val="es-ES"/>
        </w:rPr>
        <w:t>omercio para la formulación de cuenta de pérdidas y ganancias abreviada están regulados en el artículo 258 del TRLSC</w:t>
      </w:r>
      <w:r>
        <w:rPr>
          <w:rFonts w:ascii="Arial" w:hAnsi="Arial" w:cs="Arial"/>
          <w:lang w:val="es-ES"/>
        </w:rPr>
        <w:t xml:space="preserve"> y la forma de computarlos se establece en el artículo 8 de las Normas para la Formulación de las Cuentas Anuales Consolidadas aprobadas por</w:t>
      </w:r>
      <w:r w:rsidRPr="00C031C0">
        <w:rPr>
          <w:rFonts w:ascii="Arial" w:hAnsi="Arial" w:cs="Arial"/>
          <w:lang w:val="es-ES"/>
        </w:rPr>
        <w:t xml:space="preserve"> Real Decreto 1159/2010, de 17 de septiembre</w:t>
      </w:r>
      <w:r>
        <w:rPr>
          <w:rFonts w:ascii="Arial" w:hAnsi="Arial" w:cs="Arial"/>
          <w:lang w:val="es-ES"/>
        </w:rPr>
        <w:t>.</w:t>
      </w:r>
    </w:p>
    <w:p w:rsidR="00DB2624" w:rsidRPr="005A71FC" w:rsidRDefault="00DB2624" w:rsidP="00692636">
      <w:pPr>
        <w:ind w:left="0" w:firstLine="0"/>
        <w:rPr>
          <w:rFonts w:ascii="Arial" w:hAnsi="Arial" w:cs="Arial"/>
          <w:b/>
          <w:color w:val="1F497D" w:themeColor="text2"/>
          <w:lang w:val="es-ES"/>
        </w:rPr>
      </w:pPr>
    </w:p>
    <w:p w:rsidR="00692636" w:rsidRPr="005A71FC" w:rsidRDefault="00692636" w:rsidP="00692636">
      <w:pPr>
        <w:ind w:left="0" w:firstLine="0"/>
        <w:rPr>
          <w:rFonts w:ascii="Arial" w:hAnsi="Arial" w:cs="Arial"/>
          <w:b/>
          <w:color w:val="1F497D" w:themeColor="text2"/>
          <w:sz w:val="20"/>
          <w:szCs w:val="20"/>
          <w:lang w:val="es-ES"/>
        </w:rPr>
      </w:pPr>
    </w:p>
    <w:tbl>
      <w:tblPr>
        <w:tblStyle w:val="Tablaconcuadrcula"/>
        <w:tblpPr w:leftFromText="141" w:rightFromText="141" w:vertAnchor="text" w:tblpX="250" w:tblpY="1"/>
        <w:tblOverlap w:val="never"/>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587"/>
        <w:gridCol w:w="1572"/>
        <w:gridCol w:w="2652"/>
      </w:tblGrid>
      <w:tr w:rsidR="00692636" w:rsidRPr="00CF34A7" w:rsidTr="00FC33C5">
        <w:tc>
          <w:tcPr>
            <w:tcW w:w="2552" w:type="dxa"/>
            <w:tcBorders>
              <w:top w:val="single" w:sz="4" w:space="0" w:color="1F497D" w:themeColor="text2"/>
              <w:left w:val="single" w:sz="4" w:space="0" w:color="1F497D" w:themeColor="text2"/>
            </w:tcBorders>
            <w:shd w:val="clear" w:color="auto" w:fill="auto"/>
          </w:tcPr>
          <w:p w:rsidR="00692636" w:rsidRPr="00031212" w:rsidRDefault="00692636" w:rsidP="00FC33C5">
            <w:pPr>
              <w:ind w:left="142" w:right="-1" w:hanging="142"/>
              <w:rPr>
                <w:rFonts w:ascii="Arial" w:hAnsi="Arial" w:cs="Arial"/>
                <w:b/>
                <w:color w:val="1F497D" w:themeColor="text2"/>
                <w:sz w:val="20"/>
                <w:szCs w:val="20"/>
                <w:lang w:val="es-ES"/>
              </w:rPr>
            </w:pPr>
            <w:r w:rsidRPr="00031212">
              <w:rPr>
                <w:rFonts w:ascii="Arial" w:hAnsi="Arial" w:cs="Arial"/>
                <w:b/>
                <w:color w:val="1F497D" w:themeColor="text2"/>
                <w:sz w:val="20"/>
                <w:szCs w:val="20"/>
                <w:lang w:val="es-ES"/>
              </w:rPr>
              <w:t>Límites</w:t>
            </w:r>
          </w:p>
        </w:tc>
        <w:tc>
          <w:tcPr>
            <w:tcW w:w="1587" w:type="dxa"/>
            <w:tcBorders>
              <w:top w:val="single" w:sz="4" w:space="0" w:color="1F497D" w:themeColor="text2"/>
            </w:tcBorders>
            <w:shd w:val="clear" w:color="auto" w:fill="DBE5F1" w:themeFill="accent1" w:themeFillTint="33"/>
          </w:tcPr>
          <w:p w:rsidR="00692636" w:rsidRPr="00031212" w:rsidRDefault="00692636" w:rsidP="00FC33C5">
            <w:pPr>
              <w:tabs>
                <w:tab w:val="decimal" w:pos="736"/>
              </w:tabs>
              <w:ind w:left="0" w:right="-1" w:firstLine="0"/>
              <w:rPr>
                <w:rFonts w:ascii="Arial" w:hAnsi="Arial" w:cs="Arial"/>
                <w:b/>
                <w:color w:val="1F497D" w:themeColor="text2"/>
                <w:sz w:val="20"/>
                <w:szCs w:val="20"/>
                <w:lang w:val="es-ES"/>
              </w:rPr>
            </w:pPr>
            <w:r w:rsidRPr="00031212">
              <w:rPr>
                <w:rFonts w:ascii="Arial" w:hAnsi="Arial" w:cs="Arial"/>
                <w:b/>
                <w:color w:val="1F497D" w:themeColor="text2"/>
                <w:sz w:val="20"/>
                <w:szCs w:val="20"/>
                <w:lang w:val="es-ES"/>
              </w:rPr>
              <w:t>Consolidados</w:t>
            </w:r>
            <w:r>
              <w:rPr>
                <w:rFonts w:ascii="Agency FB" w:hAnsi="Agency FB" w:cs="Arial"/>
                <w:b/>
                <w:color w:val="1F497D" w:themeColor="text2"/>
                <w:sz w:val="20"/>
                <w:szCs w:val="20"/>
                <w:lang w:val="es-ES"/>
              </w:rPr>
              <w:t>¹</w:t>
            </w:r>
          </w:p>
        </w:tc>
        <w:tc>
          <w:tcPr>
            <w:tcW w:w="1572" w:type="dxa"/>
            <w:tcBorders>
              <w:top w:val="single" w:sz="4" w:space="0" w:color="1F497D" w:themeColor="text2"/>
              <w:right w:val="single" w:sz="4" w:space="0" w:color="1F497D" w:themeColor="text2"/>
            </w:tcBorders>
            <w:shd w:val="clear" w:color="auto" w:fill="DBE5F1" w:themeFill="accent1" w:themeFillTint="33"/>
          </w:tcPr>
          <w:p w:rsidR="00692636" w:rsidRPr="00031212" w:rsidRDefault="00692636" w:rsidP="00FC33C5">
            <w:pPr>
              <w:ind w:left="0" w:right="-1" w:firstLine="0"/>
              <w:jc w:val="center"/>
              <w:rPr>
                <w:rFonts w:ascii="Arial" w:hAnsi="Arial" w:cs="Arial"/>
                <w:b/>
                <w:sz w:val="20"/>
                <w:szCs w:val="20"/>
                <w:lang w:val="es-ES"/>
              </w:rPr>
            </w:pPr>
            <w:r w:rsidRPr="00031212">
              <w:rPr>
                <w:rFonts w:ascii="Arial" w:hAnsi="Arial" w:cs="Arial"/>
                <w:b/>
                <w:color w:val="1F497D" w:themeColor="text2"/>
                <w:sz w:val="20"/>
                <w:szCs w:val="20"/>
                <w:lang w:val="es-ES"/>
              </w:rPr>
              <w:t>Agregado</w:t>
            </w:r>
            <w:r w:rsidRPr="00F7175D">
              <w:rPr>
                <w:rFonts w:ascii="Arial" w:hAnsi="Arial" w:cs="Arial"/>
                <w:b/>
                <w:color w:val="4F81BD" w:themeColor="accent1"/>
                <w:sz w:val="20"/>
                <w:szCs w:val="20"/>
                <w:lang w:val="es-ES"/>
              </w:rPr>
              <w:t>s</w:t>
            </w:r>
            <w:r>
              <w:rPr>
                <w:rFonts w:ascii="Arial" w:hAnsi="Arial" w:cs="Arial"/>
                <w:b/>
                <w:sz w:val="20"/>
                <w:szCs w:val="20"/>
                <w:lang w:val="es-ES"/>
              </w:rPr>
              <w:t>²</w:t>
            </w:r>
          </w:p>
        </w:tc>
        <w:tc>
          <w:tcPr>
            <w:tcW w:w="2652" w:type="dxa"/>
            <w:tcBorders>
              <w:top w:val="single" w:sz="4" w:space="0" w:color="1F497D" w:themeColor="text2"/>
              <w:right w:val="single" w:sz="4" w:space="0" w:color="1F497D" w:themeColor="text2"/>
            </w:tcBorders>
            <w:shd w:val="clear" w:color="auto" w:fill="DBE5F1" w:themeFill="accent1" w:themeFillTint="33"/>
          </w:tcPr>
          <w:p w:rsidR="00692636" w:rsidRDefault="00692636" w:rsidP="00FC33C5">
            <w:pPr>
              <w:ind w:left="0" w:right="-1" w:firstLine="0"/>
              <w:jc w:val="center"/>
              <w:rPr>
                <w:rFonts w:ascii="Arial" w:hAnsi="Arial" w:cs="Arial"/>
                <w:b/>
                <w:color w:val="1F497D" w:themeColor="text2"/>
                <w:sz w:val="20"/>
                <w:szCs w:val="20"/>
                <w:lang w:val="es-ES"/>
              </w:rPr>
            </w:pPr>
            <w:r>
              <w:rPr>
                <w:rFonts w:ascii="Arial" w:hAnsi="Arial" w:cs="Arial"/>
                <w:b/>
                <w:color w:val="1F497D" w:themeColor="text2"/>
                <w:sz w:val="20"/>
                <w:szCs w:val="20"/>
                <w:lang w:val="es-ES"/>
              </w:rPr>
              <w:t>Forma de computo</w:t>
            </w:r>
            <w:r w:rsidRPr="003A3780">
              <w:rPr>
                <w:rFonts w:ascii="Arial" w:hAnsi="Arial" w:cs="Arial"/>
                <w:b/>
                <w:color w:val="1F497D" w:themeColor="text2"/>
                <w:sz w:val="20"/>
                <w:szCs w:val="20"/>
                <w:vertAlign w:val="superscript"/>
                <w:lang w:val="es-ES"/>
              </w:rPr>
              <w:t>5</w:t>
            </w:r>
          </w:p>
        </w:tc>
      </w:tr>
      <w:tr w:rsidR="00692636" w:rsidRPr="00CF34A7" w:rsidTr="00FC33C5">
        <w:trPr>
          <w:trHeight w:hRule="exact" w:val="113"/>
        </w:trPr>
        <w:tc>
          <w:tcPr>
            <w:tcW w:w="2552" w:type="dxa"/>
            <w:tcBorders>
              <w:left w:val="single" w:sz="4" w:space="0" w:color="1F497D" w:themeColor="text2"/>
            </w:tcBorders>
            <w:shd w:val="clear" w:color="auto" w:fill="auto"/>
          </w:tcPr>
          <w:p w:rsidR="00692636" w:rsidRPr="00CF34A7" w:rsidRDefault="00692636" w:rsidP="00FC33C5">
            <w:pPr>
              <w:ind w:left="317" w:right="-1" w:firstLine="0"/>
              <w:rPr>
                <w:rFonts w:ascii="Arial" w:hAnsi="Arial" w:cs="Arial"/>
                <w:sz w:val="20"/>
                <w:szCs w:val="20"/>
                <w:lang w:val="es-ES"/>
              </w:rPr>
            </w:pPr>
          </w:p>
        </w:tc>
        <w:tc>
          <w:tcPr>
            <w:tcW w:w="1587" w:type="dxa"/>
            <w:shd w:val="clear" w:color="auto" w:fill="DBE5F1" w:themeFill="accent1" w:themeFillTint="33"/>
          </w:tcPr>
          <w:p w:rsidR="00692636" w:rsidRPr="00CF34A7" w:rsidRDefault="00692636" w:rsidP="00FC33C5">
            <w:pPr>
              <w:tabs>
                <w:tab w:val="decimal" w:pos="736"/>
              </w:tabs>
              <w:ind w:left="0" w:right="-1" w:firstLine="0"/>
              <w:rPr>
                <w:rFonts w:ascii="Arial" w:hAnsi="Arial" w:cs="Arial"/>
                <w:sz w:val="20"/>
                <w:szCs w:val="20"/>
                <w:lang w:val="es-ES"/>
              </w:rPr>
            </w:pPr>
          </w:p>
        </w:tc>
        <w:tc>
          <w:tcPr>
            <w:tcW w:w="1572" w:type="dxa"/>
            <w:tcBorders>
              <w:right w:val="single" w:sz="4" w:space="0" w:color="1F497D" w:themeColor="text2"/>
            </w:tcBorders>
            <w:shd w:val="clear" w:color="auto" w:fill="DBE5F1" w:themeFill="accent1" w:themeFillTint="33"/>
          </w:tcPr>
          <w:p w:rsidR="00692636" w:rsidRDefault="00692636" w:rsidP="00FC33C5">
            <w:pPr>
              <w:tabs>
                <w:tab w:val="decimal" w:pos="812"/>
              </w:tabs>
              <w:ind w:left="0" w:right="-1" w:firstLine="0"/>
              <w:rPr>
                <w:rFonts w:ascii="Arial" w:hAnsi="Arial" w:cs="Arial"/>
                <w:sz w:val="20"/>
                <w:szCs w:val="20"/>
                <w:lang w:val="es-ES"/>
              </w:rPr>
            </w:pPr>
          </w:p>
        </w:tc>
        <w:tc>
          <w:tcPr>
            <w:tcW w:w="2652" w:type="dxa"/>
            <w:tcBorders>
              <w:right w:val="single" w:sz="4" w:space="0" w:color="1F497D" w:themeColor="text2"/>
            </w:tcBorders>
            <w:shd w:val="clear" w:color="auto" w:fill="DBE5F1" w:themeFill="accent1" w:themeFillTint="33"/>
          </w:tcPr>
          <w:p w:rsidR="00692636" w:rsidRDefault="00692636" w:rsidP="00FC33C5">
            <w:pPr>
              <w:tabs>
                <w:tab w:val="decimal" w:pos="812"/>
              </w:tabs>
              <w:ind w:left="0" w:right="-1" w:firstLine="0"/>
              <w:rPr>
                <w:rFonts w:ascii="Arial" w:hAnsi="Arial" w:cs="Arial"/>
                <w:sz w:val="20"/>
                <w:szCs w:val="20"/>
                <w:lang w:val="es-ES"/>
              </w:rPr>
            </w:pPr>
          </w:p>
        </w:tc>
      </w:tr>
      <w:tr w:rsidR="00692636" w:rsidRPr="00CF34A7" w:rsidTr="00FC33C5">
        <w:tc>
          <w:tcPr>
            <w:tcW w:w="2552" w:type="dxa"/>
            <w:tcBorders>
              <w:left w:val="single" w:sz="4" w:space="0" w:color="1F497D" w:themeColor="text2"/>
              <w:bottom w:val="single" w:sz="4" w:space="0" w:color="1F497D" w:themeColor="text2"/>
            </w:tcBorders>
            <w:shd w:val="clear" w:color="auto" w:fill="auto"/>
          </w:tcPr>
          <w:p w:rsidR="00692636" w:rsidRPr="00CF34A7" w:rsidRDefault="00692636" w:rsidP="00C9017D">
            <w:pPr>
              <w:ind w:left="0" w:right="-1" w:firstLine="0"/>
              <w:jc w:val="left"/>
              <w:rPr>
                <w:rFonts w:ascii="Arial" w:hAnsi="Arial" w:cs="Arial"/>
                <w:sz w:val="20"/>
                <w:szCs w:val="20"/>
                <w:lang w:val="es-ES"/>
              </w:rPr>
            </w:pPr>
            <w:r w:rsidRPr="00CF34A7">
              <w:rPr>
                <w:rFonts w:ascii="Arial" w:hAnsi="Arial" w:cs="Arial"/>
                <w:sz w:val="20"/>
                <w:szCs w:val="20"/>
                <w:lang w:val="es-ES"/>
              </w:rPr>
              <w:t>Total de las partidas del activo</w:t>
            </w:r>
          </w:p>
        </w:tc>
        <w:tc>
          <w:tcPr>
            <w:tcW w:w="1587" w:type="dxa"/>
            <w:tcBorders>
              <w:bottom w:val="single" w:sz="4" w:space="0" w:color="1F497D" w:themeColor="text2"/>
            </w:tcBorders>
            <w:shd w:val="clear" w:color="auto" w:fill="DBE5F1" w:themeFill="accent1" w:themeFillTint="33"/>
          </w:tcPr>
          <w:p w:rsidR="00692636" w:rsidRPr="00CF34A7" w:rsidRDefault="00692636" w:rsidP="00FC33C5">
            <w:pPr>
              <w:tabs>
                <w:tab w:val="decimal" w:pos="736"/>
              </w:tabs>
              <w:ind w:left="0" w:right="-1" w:firstLine="0"/>
              <w:rPr>
                <w:rFonts w:ascii="Arial" w:hAnsi="Arial" w:cs="Arial"/>
                <w:sz w:val="20"/>
                <w:szCs w:val="20"/>
                <w:lang w:val="es-ES"/>
              </w:rPr>
            </w:pPr>
            <w:r w:rsidRPr="00CF34A7">
              <w:rPr>
                <w:rFonts w:ascii="Arial" w:hAnsi="Arial" w:cs="Arial"/>
                <w:sz w:val="20"/>
                <w:szCs w:val="20"/>
                <w:lang w:val="es-ES"/>
              </w:rPr>
              <w:t>11.400</w:t>
            </w:r>
            <w:r>
              <w:rPr>
                <w:rFonts w:ascii="Arial" w:hAnsi="Arial" w:cs="Arial"/>
                <w:sz w:val="20"/>
                <w:szCs w:val="20"/>
                <w:lang w:val="es-ES"/>
              </w:rPr>
              <w:t>.000</w:t>
            </w:r>
            <w:r w:rsidRPr="00CF34A7">
              <w:rPr>
                <w:rFonts w:ascii="Arial" w:hAnsi="Arial" w:cs="Arial"/>
                <w:sz w:val="20"/>
                <w:szCs w:val="20"/>
                <w:lang w:val="es-ES"/>
              </w:rPr>
              <w:t xml:space="preserve"> €</w:t>
            </w:r>
          </w:p>
        </w:tc>
        <w:tc>
          <w:tcPr>
            <w:tcW w:w="1572" w:type="dxa"/>
            <w:tcBorders>
              <w:bottom w:val="single" w:sz="4" w:space="0" w:color="1F497D" w:themeColor="text2"/>
              <w:right w:val="single" w:sz="4" w:space="0" w:color="1F497D" w:themeColor="text2"/>
            </w:tcBorders>
            <w:shd w:val="clear" w:color="auto" w:fill="DBE5F1" w:themeFill="accent1" w:themeFillTint="33"/>
          </w:tcPr>
          <w:p w:rsidR="00692636" w:rsidRPr="00CF34A7" w:rsidRDefault="00692636" w:rsidP="00FC33C5">
            <w:pPr>
              <w:tabs>
                <w:tab w:val="decimal" w:pos="812"/>
              </w:tabs>
              <w:ind w:left="0" w:right="-1" w:firstLine="0"/>
              <w:rPr>
                <w:rFonts w:ascii="Arial" w:hAnsi="Arial" w:cs="Arial"/>
                <w:sz w:val="20"/>
                <w:szCs w:val="20"/>
                <w:lang w:val="es-ES"/>
              </w:rPr>
            </w:pPr>
            <w:r>
              <w:rPr>
                <w:rFonts w:ascii="Arial" w:hAnsi="Arial" w:cs="Arial"/>
                <w:sz w:val="20"/>
                <w:szCs w:val="20"/>
                <w:lang w:val="es-ES"/>
              </w:rPr>
              <w:t xml:space="preserve">13.680.000 </w:t>
            </w:r>
            <w:r w:rsidRPr="00CF34A7">
              <w:rPr>
                <w:rFonts w:ascii="Arial" w:hAnsi="Arial" w:cs="Arial"/>
                <w:sz w:val="20"/>
                <w:szCs w:val="20"/>
                <w:lang w:val="es-ES"/>
              </w:rPr>
              <w:t>€</w:t>
            </w:r>
          </w:p>
        </w:tc>
        <w:tc>
          <w:tcPr>
            <w:tcW w:w="2652" w:type="dxa"/>
            <w:vMerge w:val="restart"/>
            <w:tcBorders>
              <w:right w:val="single" w:sz="4" w:space="0" w:color="1F497D" w:themeColor="text2"/>
            </w:tcBorders>
            <w:shd w:val="clear" w:color="auto" w:fill="DBE5F1" w:themeFill="accent1" w:themeFillTint="33"/>
          </w:tcPr>
          <w:p w:rsidR="00692636" w:rsidRDefault="00692636" w:rsidP="00C9017D">
            <w:pPr>
              <w:tabs>
                <w:tab w:val="decimal" w:pos="812"/>
              </w:tabs>
              <w:spacing w:before="120" w:after="120"/>
              <w:ind w:left="0" w:firstLine="0"/>
              <w:rPr>
                <w:rFonts w:ascii="Arial" w:hAnsi="Arial" w:cs="Arial"/>
                <w:sz w:val="20"/>
                <w:szCs w:val="20"/>
                <w:lang w:val="es-ES"/>
              </w:rPr>
            </w:pPr>
            <w:r>
              <w:rPr>
                <w:rFonts w:ascii="Arial" w:hAnsi="Arial" w:cs="Arial"/>
                <w:sz w:val="20"/>
                <w:szCs w:val="20"/>
                <w:lang w:val="es-ES"/>
              </w:rPr>
              <w:t>N</w:t>
            </w:r>
            <w:r w:rsidRPr="00CF34A7">
              <w:rPr>
                <w:rFonts w:ascii="Arial" w:hAnsi="Arial" w:cs="Arial"/>
                <w:sz w:val="20"/>
                <w:szCs w:val="20"/>
                <w:lang w:val="es-ES"/>
              </w:rPr>
              <w:t>o deben superarse dos de dichos límites durante dos ejercicios consecutivos y a la fecha de cierre de cada  uno de ellos</w:t>
            </w:r>
          </w:p>
          <w:p w:rsidR="00692636" w:rsidRDefault="00692636" w:rsidP="00C9017D">
            <w:pPr>
              <w:tabs>
                <w:tab w:val="decimal" w:pos="812"/>
              </w:tabs>
              <w:spacing w:before="120" w:after="120"/>
              <w:ind w:left="0" w:firstLine="0"/>
              <w:rPr>
                <w:rFonts w:ascii="Arial" w:hAnsi="Arial" w:cs="Arial"/>
                <w:sz w:val="20"/>
                <w:szCs w:val="20"/>
                <w:lang w:val="es-ES"/>
              </w:rPr>
            </w:pPr>
          </w:p>
          <w:p w:rsidR="00692636" w:rsidRDefault="00692636" w:rsidP="00C9017D">
            <w:pPr>
              <w:spacing w:before="120" w:after="120"/>
              <w:ind w:left="0" w:firstLine="0"/>
              <w:rPr>
                <w:rFonts w:ascii="Arial" w:hAnsi="Arial" w:cs="Arial"/>
                <w:sz w:val="20"/>
                <w:szCs w:val="20"/>
                <w:lang w:val="es-ES"/>
              </w:rPr>
            </w:pPr>
            <w:r w:rsidRPr="005B7BE8">
              <w:rPr>
                <w:rFonts w:ascii="Arial" w:hAnsi="Arial" w:cs="Arial"/>
                <w:sz w:val="20"/>
                <w:szCs w:val="20"/>
                <w:lang w:val="es-ES"/>
              </w:rPr>
              <w:t>En los dos primeros ejercicios sociales</w:t>
            </w:r>
            <w:r>
              <w:rPr>
                <w:rFonts w:ascii="Arial" w:hAnsi="Arial" w:cs="Arial"/>
                <w:sz w:val="20"/>
                <w:szCs w:val="20"/>
                <w:lang w:val="es-ES"/>
              </w:rPr>
              <w:t xml:space="preserve"> desde la constitución del grupo, una sociedad está dispensada cuando en la fecha de cierre de su primer ejercicio, el conjunto del grupo no sobrepase dos de los límites</w:t>
            </w:r>
          </w:p>
        </w:tc>
      </w:tr>
      <w:tr w:rsidR="00692636" w:rsidRPr="00CF34A7" w:rsidTr="00FC33C5">
        <w:tc>
          <w:tcPr>
            <w:tcW w:w="2552" w:type="dxa"/>
            <w:tcBorders>
              <w:top w:val="single" w:sz="4" w:space="0" w:color="1F497D" w:themeColor="text2"/>
              <w:left w:val="single" w:sz="4" w:space="0" w:color="1F497D" w:themeColor="text2"/>
              <w:bottom w:val="single" w:sz="4" w:space="0" w:color="1F497D" w:themeColor="text2"/>
            </w:tcBorders>
            <w:shd w:val="clear" w:color="auto" w:fill="auto"/>
          </w:tcPr>
          <w:p w:rsidR="00692636" w:rsidRPr="00CF34A7" w:rsidRDefault="00692636" w:rsidP="00C9017D">
            <w:pPr>
              <w:ind w:left="0" w:right="-1" w:firstLine="0"/>
              <w:jc w:val="left"/>
              <w:rPr>
                <w:rFonts w:ascii="Arial" w:hAnsi="Arial" w:cs="Arial"/>
                <w:sz w:val="20"/>
                <w:szCs w:val="20"/>
                <w:lang w:val="es-ES"/>
              </w:rPr>
            </w:pPr>
            <w:r w:rsidRPr="00CF34A7">
              <w:rPr>
                <w:rFonts w:ascii="Arial" w:hAnsi="Arial" w:cs="Arial"/>
                <w:sz w:val="20"/>
                <w:szCs w:val="20"/>
                <w:lang w:val="es-ES"/>
              </w:rPr>
              <w:t xml:space="preserve">Importe neto de </w:t>
            </w:r>
            <w:r>
              <w:rPr>
                <w:rFonts w:ascii="Arial" w:hAnsi="Arial" w:cs="Arial"/>
                <w:sz w:val="20"/>
                <w:szCs w:val="20"/>
                <w:lang w:val="es-ES"/>
              </w:rPr>
              <w:t>la</w:t>
            </w:r>
            <w:r w:rsidRPr="00CF34A7">
              <w:rPr>
                <w:rFonts w:ascii="Arial" w:hAnsi="Arial" w:cs="Arial"/>
                <w:sz w:val="20"/>
                <w:szCs w:val="20"/>
                <w:lang w:val="es-ES"/>
              </w:rPr>
              <w:t xml:space="preserve"> cifra anual de negocios</w:t>
            </w:r>
            <w:r>
              <w:rPr>
                <w:rFonts w:ascii="Arial" w:hAnsi="Arial" w:cs="Arial"/>
                <w:sz w:val="20"/>
                <w:szCs w:val="20"/>
                <w:lang w:val="es-ES"/>
              </w:rPr>
              <w:t>³</w:t>
            </w:r>
          </w:p>
        </w:tc>
        <w:tc>
          <w:tcPr>
            <w:tcW w:w="1587" w:type="dxa"/>
            <w:tcBorders>
              <w:top w:val="single" w:sz="4" w:space="0" w:color="1F497D" w:themeColor="text2"/>
              <w:bottom w:val="single" w:sz="4" w:space="0" w:color="1F497D" w:themeColor="text2"/>
            </w:tcBorders>
            <w:shd w:val="clear" w:color="auto" w:fill="DBE5F1" w:themeFill="accent1" w:themeFillTint="33"/>
          </w:tcPr>
          <w:p w:rsidR="00692636" w:rsidRPr="00CF34A7" w:rsidRDefault="00692636" w:rsidP="00FC33C5">
            <w:pPr>
              <w:tabs>
                <w:tab w:val="decimal" w:pos="736"/>
              </w:tabs>
              <w:ind w:left="0" w:right="-1" w:firstLine="0"/>
              <w:rPr>
                <w:rFonts w:ascii="Arial" w:hAnsi="Arial" w:cs="Arial"/>
                <w:sz w:val="20"/>
                <w:szCs w:val="20"/>
                <w:lang w:val="es-ES"/>
              </w:rPr>
            </w:pPr>
            <w:r w:rsidRPr="00CF34A7">
              <w:rPr>
                <w:rFonts w:ascii="Arial" w:hAnsi="Arial" w:cs="Arial"/>
                <w:sz w:val="20"/>
                <w:szCs w:val="20"/>
                <w:lang w:val="es-ES"/>
              </w:rPr>
              <w:t>22.800</w:t>
            </w:r>
            <w:r>
              <w:rPr>
                <w:rFonts w:ascii="Arial" w:hAnsi="Arial" w:cs="Arial"/>
                <w:sz w:val="20"/>
                <w:szCs w:val="20"/>
                <w:lang w:val="es-ES"/>
              </w:rPr>
              <w:t>.000</w:t>
            </w:r>
            <w:r w:rsidRPr="00CF34A7">
              <w:rPr>
                <w:rFonts w:ascii="Arial" w:hAnsi="Arial" w:cs="Arial"/>
                <w:sz w:val="20"/>
                <w:szCs w:val="20"/>
                <w:lang w:val="es-ES"/>
              </w:rPr>
              <w:t xml:space="preserve"> €</w:t>
            </w:r>
          </w:p>
        </w:tc>
        <w:tc>
          <w:tcPr>
            <w:tcW w:w="1572" w:type="dxa"/>
            <w:tcBorders>
              <w:top w:val="single" w:sz="4" w:space="0" w:color="1F497D" w:themeColor="text2"/>
              <w:bottom w:val="single" w:sz="4" w:space="0" w:color="1F497D" w:themeColor="text2"/>
              <w:right w:val="single" w:sz="4" w:space="0" w:color="1F497D" w:themeColor="text2"/>
            </w:tcBorders>
            <w:shd w:val="clear" w:color="auto" w:fill="DBE5F1" w:themeFill="accent1" w:themeFillTint="33"/>
          </w:tcPr>
          <w:p w:rsidR="00692636" w:rsidRPr="00CF34A7" w:rsidRDefault="00692636" w:rsidP="00FC33C5">
            <w:pPr>
              <w:tabs>
                <w:tab w:val="decimal" w:pos="812"/>
              </w:tabs>
              <w:ind w:left="0" w:right="-1" w:firstLine="0"/>
              <w:rPr>
                <w:rFonts w:ascii="Arial" w:hAnsi="Arial" w:cs="Arial"/>
                <w:sz w:val="20"/>
                <w:szCs w:val="20"/>
                <w:lang w:val="es-ES"/>
              </w:rPr>
            </w:pPr>
            <w:r>
              <w:rPr>
                <w:rFonts w:ascii="Arial" w:hAnsi="Arial" w:cs="Arial"/>
                <w:sz w:val="20"/>
                <w:szCs w:val="20"/>
                <w:lang w:val="es-ES"/>
              </w:rPr>
              <w:t xml:space="preserve">27.360.000 </w:t>
            </w:r>
            <w:r w:rsidRPr="00CF34A7">
              <w:rPr>
                <w:rFonts w:ascii="Arial" w:hAnsi="Arial" w:cs="Arial"/>
                <w:sz w:val="20"/>
                <w:szCs w:val="20"/>
                <w:lang w:val="es-ES"/>
              </w:rPr>
              <w:t>€</w:t>
            </w:r>
          </w:p>
        </w:tc>
        <w:tc>
          <w:tcPr>
            <w:tcW w:w="2652" w:type="dxa"/>
            <w:vMerge/>
            <w:tcBorders>
              <w:right w:val="single" w:sz="4" w:space="0" w:color="1F497D" w:themeColor="text2"/>
            </w:tcBorders>
            <w:shd w:val="clear" w:color="auto" w:fill="DBE5F1" w:themeFill="accent1" w:themeFillTint="33"/>
          </w:tcPr>
          <w:p w:rsidR="00692636" w:rsidRDefault="00692636" w:rsidP="00FC33C5">
            <w:pPr>
              <w:tabs>
                <w:tab w:val="decimal" w:pos="812"/>
              </w:tabs>
              <w:ind w:left="0" w:right="-1" w:firstLine="0"/>
              <w:rPr>
                <w:rFonts w:ascii="Arial" w:hAnsi="Arial" w:cs="Arial"/>
                <w:sz w:val="20"/>
                <w:szCs w:val="20"/>
                <w:lang w:val="es-ES"/>
              </w:rPr>
            </w:pPr>
          </w:p>
        </w:tc>
      </w:tr>
      <w:tr w:rsidR="00692636" w:rsidRPr="00CF34A7" w:rsidTr="00FC33C5">
        <w:tc>
          <w:tcPr>
            <w:tcW w:w="2552" w:type="dxa"/>
            <w:tcBorders>
              <w:top w:val="single" w:sz="4" w:space="0" w:color="1F497D" w:themeColor="text2"/>
              <w:left w:val="single" w:sz="4" w:space="0" w:color="1F497D" w:themeColor="text2"/>
              <w:bottom w:val="single" w:sz="4" w:space="0" w:color="1F497D" w:themeColor="text2"/>
            </w:tcBorders>
            <w:shd w:val="clear" w:color="auto" w:fill="auto"/>
          </w:tcPr>
          <w:p w:rsidR="00692636" w:rsidRPr="00CF34A7" w:rsidRDefault="00692636" w:rsidP="00C9017D">
            <w:pPr>
              <w:ind w:left="0" w:right="-1" w:firstLine="0"/>
              <w:jc w:val="left"/>
              <w:rPr>
                <w:rFonts w:ascii="Arial" w:hAnsi="Arial" w:cs="Arial"/>
                <w:sz w:val="20"/>
                <w:szCs w:val="20"/>
                <w:lang w:val="es-ES"/>
              </w:rPr>
            </w:pPr>
            <w:r w:rsidRPr="00CF34A7">
              <w:rPr>
                <w:rFonts w:ascii="Arial" w:hAnsi="Arial" w:cs="Arial"/>
                <w:sz w:val="20"/>
                <w:szCs w:val="20"/>
                <w:lang w:val="es-ES"/>
              </w:rPr>
              <w:t>Número medio de trabajadores empleados durante el ejercicio</w:t>
            </w:r>
            <w:r w:rsidRPr="003A3780">
              <w:rPr>
                <w:rFonts w:ascii="Arial" w:hAnsi="Arial" w:cs="Arial"/>
                <w:sz w:val="20"/>
                <w:szCs w:val="20"/>
                <w:vertAlign w:val="superscript"/>
                <w:lang w:val="es-ES"/>
              </w:rPr>
              <w:t>4</w:t>
            </w:r>
          </w:p>
        </w:tc>
        <w:tc>
          <w:tcPr>
            <w:tcW w:w="1587" w:type="dxa"/>
            <w:tcBorders>
              <w:top w:val="single" w:sz="4" w:space="0" w:color="1F497D" w:themeColor="text2"/>
              <w:bottom w:val="single" w:sz="4" w:space="0" w:color="1F497D" w:themeColor="text2"/>
            </w:tcBorders>
            <w:shd w:val="clear" w:color="auto" w:fill="DBE5F1" w:themeFill="accent1" w:themeFillTint="33"/>
          </w:tcPr>
          <w:p w:rsidR="00692636" w:rsidRDefault="00692636" w:rsidP="00FC33C5">
            <w:pPr>
              <w:tabs>
                <w:tab w:val="decimal" w:pos="736"/>
              </w:tabs>
              <w:ind w:left="0" w:right="-1" w:firstLine="0"/>
              <w:rPr>
                <w:rFonts w:ascii="Arial" w:hAnsi="Arial" w:cs="Arial"/>
                <w:sz w:val="20"/>
                <w:szCs w:val="20"/>
                <w:lang w:val="es-ES"/>
              </w:rPr>
            </w:pPr>
          </w:p>
          <w:p w:rsidR="00692636" w:rsidRPr="00CF34A7" w:rsidRDefault="00692636" w:rsidP="00FC33C5">
            <w:pPr>
              <w:tabs>
                <w:tab w:val="decimal" w:pos="736"/>
              </w:tabs>
              <w:ind w:left="0" w:right="-1" w:firstLine="0"/>
              <w:rPr>
                <w:rFonts w:ascii="Arial" w:hAnsi="Arial" w:cs="Arial"/>
                <w:sz w:val="20"/>
                <w:szCs w:val="20"/>
                <w:lang w:val="es-ES"/>
              </w:rPr>
            </w:pPr>
            <w:r w:rsidRPr="00CF34A7">
              <w:rPr>
                <w:rFonts w:ascii="Arial" w:hAnsi="Arial" w:cs="Arial"/>
                <w:sz w:val="20"/>
                <w:szCs w:val="20"/>
                <w:lang w:val="es-ES"/>
              </w:rPr>
              <w:t>250</w:t>
            </w:r>
          </w:p>
        </w:tc>
        <w:tc>
          <w:tcPr>
            <w:tcW w:w="1572" w:type="dxa"/>
            <w:tcBorders>
              <w:top w:val="single" w:sz="4" w:space="0" w:color="1F497D" w:themeColor="text2"/>
              <w:bottom w:val="single" w:sz="4" w:space="0" w:color="1F497D" w:themeColor="text2"/>
              <w:right w:val="single" w:sz="4" w:space="0" w:color="1F497D" w:themeColor="text2"/>
            </w:tcBorders>
            <w:shd w:val="clear" w:color="auto" w:fill="DBE5F1" w:themeFill="accent1" w:themeFillTint="33"/>
          </w:tcPr>
          <w:p w:rsidR="00692636" w:rsidRDefault="00692636" w:rsidP="00FC33C5">
            <w:pPr>
              <w:tabs>
                <w:tab w:val="decimal" w:pos="812"/>
              </w:tabs>
              <w:ind w:left="0" w:right="-1" w:firstLine="0"/>
              <w:rPr>
                <w:rFonts w:ascii="Arial" w:hAnsi="Arial" w:cs="Arial"/>
                <w:sz w:val="20"/>
                <w:szCs w:val="20"/>
                <w:lang w:val="es-ES"/>
              </w:rPr>
            </w:pPr>
          </w:p>
          <w:p w:rsidR="00692636" w:rsidRPr="00CF34A7" w:rsidRDefault="00692636" w:rsidP="00FC33C5">
            <w:pPr>
              <w:tabs>
                <w:tab w:val="decimal" w:pos="812"/>
              </w:tabs>
              <w:ind w:left="0" w:right="-1" w:firstLine="0"/>
              <w:rPr>
                <w:rFonts w:ascii="Arial" w:hAnsi="Arial" w:cs="Arial"/>
                <w:sz w:val="20"/>
                <w:szCs w:val="20"/>
                <w:lang w:val="es-ES"/>
              </w:rPr>
            </w:pPr>
            <w:r>
              <w:rPr>
                <w:rFonts w:ascii="Arial" w:hAnsi="Arial" w:cs="Arial"/>
                <w:sz w:val="20"/>
                <w:szCs w:val="20"/>
                <w:lang w:val="es-ES"/>
              </w:rPr>
              <w:t>250</w:t>
            </w:r>
          </w:p>
        </w:tc>
        <w:tc>
          <w:tcPr>
            <w:tcW w:w="2652" w:type="dxa"/>
            <w:vMerge/>
            <w:tcBorders>
              <w:bottom w:val="single" w:sz="4" w:space="0" w:color="1F497D" w:themeColor="text2"/>
              <w:right w:val="single" w:sz="4" w:space="0" w:color="1F497D" w:themeColor="text2"/>
            </w:tcBorders>
            <w:shd w:val="clear" w:color="auto" w:fill="DBE5F1" w:themeFill="accent1" w:themeFillTint="33"/>
          </w:tcPr>
          <w:p w:rsidR="00692636" w:rsidRDefault="00692636" w:rsidP="00FC33C5">
            <w:pPr>
              <w:tabs>
                <w:tab w:val="decimal" w:pos="812"/>
              </w:tabs>
              <w:ind w:left="0" w:right="-1" w:firstLine="0"/>
              <w:rPr>
                <w:rFonts w:ascii="Arial" w:hAnsi="Arial" w:cs="Arial"/>
                <w:sz w:val="20"/>
                <w:szCs w:val="20"/>
                <w:lang w:val="es-ES"/>
              </w:rPr>
            </w:pPr>
          </w:p>
        </w:tc>
      </w:tr>
    </w:tbl>
    <w:p w:rsidR="00692636" w:rsidRDefault="00692636" w:rsidP="00692636">
      <w:pPr>
        <w:ind w:left="0" w:right="-1" w:firstLine="0"/>
        <w:rPr>
          <w:rFonts w:ascii="Arial" w:hAnsi="Arial" w:cs="Arial"/>
          <w:lang w:val="es-ES"/>
        </w:rPr>
      </w:pPr>
      <w:r>
        <w:rPr>
          <w:rFonts w:ascii="Arial" w:hAnsi="Arial" w:cs="Arial"/>
          <w:lang w:val="es-ES"/>
        </w:rPr>
        <w:br w:type="textWrapping" w:clear="all"/>
      </w:r>
    </w:p>
    <w:p w:rsidR="00DA328F" w:rsidRDefault="00DA328F" w:rsidP="00692636">
      <w:pPr>
        <w:ind w:left="0" w:right="-1" w:firstLine="0"/>
        <w:rPr>
          <w:rFonts w:ascii="Arial" w:hAnsi="Arial" w:cs="Arial"/>
          <w:lang w:val="es-ES"/>
        </w:rPr>
      </w:pPr>
    </w:p>
    <w:p w:rsidR="00DA328F" w:rsidRDefault="00DA328F" w:rsidP="00692636">
      <w:pPr>
        <w:ind w:left="0" w:right="-1" w:firstLine="0"/>
        <w:rPr>
          <w:rFonts w:ascii="Arial" w:hAnsi="Arial" w:cs="Arial"/>
          <w:lang w:val="es-ES"/>
        </w:rPr>
      </w:pPr>
    </w:p>
    <w:p w:rsidR="00DA328F" w:rsidRDefault="00DA328F" w:rsidP="00692636">
      <w:pPr>
        <w:ind w:left="0" w:right="-1" w:firstLine="0"/>
        <w:rPr>
          <w:rFonts w:ascii="Arial" w:hAnsi="Arial" w:cs="Arial"/>
          <w:lang w:val="es-ES"/>
        </w:rPr>
      </w:pPr>
    </w:p>
    <w:p w:rsidR="00DA328F" w:rsidRDefault="00DA328F" w:rsidP="00692636">
      <w:pPr>
        <w:ind w:left="0" w:right="-1" w:firstLine="0"/>
        <w:rPr>
          <w:rFonts w:ascii="Arial" w:hAnsi="Arial" w:cs="Arial"/>
          <w:lang w:val="es-ES"/>
        </w:rPr>
      </w:pPr>
    </w:p>
    <w:p w:rsidR="00DA328F" w:rsidRDefault="00DA328F" w:rsidP="00692636">
      <w:pPr>
        <w:ind w:left="0" w:right="-1" w:firstLine="0"/>
        <w:rPr>
          <w:rFonts w:ascii="Arial" w:hAnsi="Arial" w:cs="Arial"/>
          <w:lang w:val="es-ES"/>
        </w:rPr>
      </w:pPr>
    </w:p>
    <w:p w:rsidR="00692636" w:rsidRPr="00A26224" w:rsidRDefault="00692636" w:rsidP="00692636">
      <w:pPr>
        <w:ind w:left="284" w:right="-1" w:hanging="284"/>
        <w:rPr>
          <w:rFonts w:ascii="Arial" w:hAnsi="Arial" w:cs="Arial"/>
          <w:sz w:val="20"/>
          <w:szCs w:val="20"/>
          <w:lang w:val="es-ES"/>
        </w:rPr>
      </w:pPr>
      <w:r w:rsidRPr="00A26224">
        <w:rPr>
          <w:rFonts w:ascii="Arial" w:hAnsi="Arial" w:cs="Arial"/>
          <w:sz w:val="20"/>
          <w:szCs w:val="20"/>
          <w:lang w:val="es-ES"/>
        </w:rPr>
        <w:lastRenderedPageBreak/>
        <w:t xml:space="preserve">¹ </w:t>
      </w:r>
      <w:r>
        <w:rPr>
          <w:rFonts w:ascii="Arial" w:hAnsi="Arial" w:cs="Arial"/>
          <w:sz w:val="20"/>
          <w:szCs w:val="20"/>
          <w:lang w:val="es-ES"/>
        </w:rPr>
        <w:t xml:space="preserve"> </w:t>
      </w:r>
      <w:r w:rsidRPr="00A26224">
        <w:rPr>
          <w:rFonts w:ascii="Arial" w:hAnsi="Arial" w:cs="Arial"/>
          <w:sz w:val="20"/>
          <w:szCs w:val="20"/>
          <w:lang w:val="es-ES"/>
        </w:rPr>
        <w:t>En el caso de los límites consolidados para su cómputo deben “agregarse los datos de la sociedad dominante y los correspondientes al resto de sociedades del grupo y tenerse en cuenta los ajustes y eliminaciones que procedería realizar, de efectuarse la consolidación, de acuerdo con lo establecido en el capítulo III” de</w:t>
      </w:r>
      <w:r>
        <w:rPr>
          <w:rFonts w:ascii="Arial" w:hAnsi="Arial" w:cs="Arial"/>
          <w:sz w:val="20"/>
          <w:szCs w:val="20"/>
          <w:lang w:val="es-ES"/>
        </w:rPr>
        <w:t xml:space="preserve"> </w:t>
      </w:r>
      <w:r w:rsidRPr="003969A6">
        <w:rPr>
          <w:rFonts w:ascii="Arial" w:hAnsi="Arial" w:cs="Arial"/>
          <w:sz w:val="20"/>
          <w:szCs w:val="20"/>
          <w:lang w:val="es-ES"/>
        </w:rPr>
        <w:t>las Normas para la Formulación de las Cuentas Anuales Consolidadas aprobadas por</w:t>
      </w:r>
      <w:r w:rsidRPr="00A26224">
        <w:rPr>
          <w:rFonts w:ascii="Arial" w:hAnsi="Arial" w:cs="Arial"/>
          <w:sz w:val="20"/>
          <w:szCs w:val="20"/>
          <w:lang w:val="es-ES"/>
        </w:rPr>
        <w:t xml:space="preserve"> Real Decreto 1159/2010, de 17 de septiembre.</w:t>
      </w:r>
    </w:p>
    <w:p w:rsidR="00692636" w:rsidRPr="00A26224" w:rsidRDefault="00692636" w:rsidP="00692636">
      <w:pPr>
        <w:ind w:left="284" w:right="-1" w:hanging="284"/>
        <w:rPr>
          <w:rFonts w:ascii="Arial" w:hAnsi="Arial" w:cs="Arial"/>
          <w:sz w:val="20"/>
          <w:szCs w:val="20"/>
          <w:lang w:val="es-ES"/>
        </w:rPr>
      </w:pPr>
    </w:p>
    <w:p w:rsidR="00692636" w:rsidRPr="00A26224" w:rsidRDefault="00692636" w:rsidP="00692636">
      <w:pPr>
        <w:ind w:left="284" w:right="-1" w:hanging="284"/>
        <w:rPr>
          <w:rFonts w:ascii="Arial" w:hAnsi="Arial" w:cs="Arial"/>
          <w:sz w:val="20"/>
          <w:szCs w:val="20"/>
          <w:lang w:val="es-ES"/>
        </w:rPr>
      </w:pPr>
      <w:r w:rsidRPr="00A26224">
        <w:rPr>
          <w:rFonts w:ascii="Arial" w:hAnsi="Arial" w:cs="Arial"/>
          <w:sz w:val="20"/>
          <w:szCs w:val="20"/>
          <w:lang w:val="es-ES"/>
        </w:rPr>
        <w:t xml:space="preserve">² </w:t>
      </w:r>
      <w:r>
        <w:rPr>
          <w:rFonts w:ascii="Arial" w:hAnsi="Arial" w:cs="Arial"/>
          <w:sz w:val="20"/>
          <w:szCs w:val="20"/>
          <w:lang w:val="es-ES"/>
        </w:rPr>
        <w:t xml:space="preserve"> Alternativamente,</w:t>
      </w:r>
      <w:r w:rsidRPr="00A26224">
        <w:rPr>
          <w:rFonts w:ascii="Arial" w:hAnsi="Arial" w:cs="Arial"/>
          <w:sz w:val="20"/>
          <w:szCs w:val="20"/>
          <w:lang w:val="es-ES"/>
        </w:rPr>
        <w:t xml:space="preserve"> pueden utilizarse los límites agregados, que corresponden a las cifras consolidadas incrementadas en un 20 por 100, y en este caso deben considerarse exclusivamente “la suma de valores nominales que integren los balances y las cuentas de pérdidas y ganancias de todas las sociedades del grupo”.</w:t>
      </w:r>
    </w:p>
    <w:p w:rsidR="00692636" w:rsidRPr="00A26224" w:rsidRDefault="00692636" w:rsidP="00692636">
      <w:pPr>
        <w:ind w:left="284" w:right="-1" w:hanging="284"/>
        <w:rPr>
          <w:rFonts w:ascii="Arial" w:hAnsi="Arial" w:cs="Arial"/>
          <w:sz w:val="20"/>
          <w:szCs w:val="20"/>
          <w:lang w:val="es-ES"/>
        </w:rPr>
      </w:pPr>
    </w:p>
    <w:p w:rsidR="00692636" w:rsidRPr="00A26224" w:rsidRDefault="00692636" w:rsidP="00692636">
      <w:pPr>
        <w:ind w:left="284" w:right="-1" w:hanging="284"/>
        <w:rPr>
          <w:rFonts w:ascii="Arial" w:hAnsi="Arial" w:cs="Arial"/>
          <w:sz w:val="20"/>
          <w:szCs w:val="20"/>
          <w:lang w:val="es-ES"/>
        </w:rPr>
      </w:pPr>
      <w:r w:rsidRPr="00A26224">
        <w:rPr>
          <w:rFonts w:ascii="Arial" w:hAnsi="Arial" w:cs="Arial"/>
          <w:sz w:val="20"/>
          <w:szCs w:val="20"/>
          <w:lang w:val="es-ES"/>
        </w:rPr>
        <w:t xml:space="preserve">³ </w:t>
      </w:r>
      <w:r>
        <w:rPr>
          <w:rFonts w:ascii="Arial" w:hAnsi="Arial" w:cs="Arial"/>
          <w:sz w:val="20"/>
          <w:szCs w:val="20"/>
          <w:lang w:val="es-ES"/>
        </w:rPr>
        <w:t xml:space="preserve"> </w:t>
      </w:r>
      <w:r w:rsidRPr="00A26224">
        <w:rPr>
          <w:rFonts w:ascii="Arial" w:hAnsi="Arial" w:cs="Arial"/>
          <w:sz w:val="20"/>
          <w:szCs w:val="20"/>
          <w:lang w:val="es-ES"/>
        </w:rPr>
        <w:t>Si el periodo al cual se refieren las cuentas anuales consolidadas es inferior al año, “el importe neto de la cifra anual de negocios será el obtenido durante el periodo que abarque dicho ejercicio”.</w:t>
      </w:r>
    </w:p>
    <w:p w:rsidR="00692636" w:rsidRPr="00A26224" w:rsidRDefault="00692636" w:rsidP="00692636">
      <w:pPr>
        <w:ind w:left="284" w:right="-1" w:hanging="284"/>
        <w:rPr>
          <w:rFonts w:ascii="Arial" w:hAnsi="Arial" w:cs="Arial"/>
          <w:sz w:val="20"/>
          <w:szCs w:val="20"/>
          <w:lang w:val="es-ES"/>
        </w:rPr>
      </w:pPr>
    </w:p>
    <w:p w:rsidR="00692636" w:rsidRPr="00A26224" w:rsidRDefault="00692636" w:rsidP="00692636">
      <w:pPr>
        <w:ind w:left="284" w:right="-1" w:hanging="284"/>
        <w:rPr>
          <w:rFonts w:ascii="Arial" w:hAnsi="Arial" w:cs="Arial"/>
          <w:sz w:val="20"/>
          <w:szCs w:val="20"/>
          <w:lang w:val="es-ES"/>
        </w:rPr>
      </w:pPr>
      <w:r w:rsidRPr="003A3780">
        <w:rPr>
          <w:rFonts w:ascii="Arial" w:hAnsi="Arial" w:cs="Arial"/>
          <w:sz w:val="20"/>
          <w:szCs w:val="20"/>
          <w:vertAlign w:val="superscript"/>
          <w:lang w:val="es-ES"/>
        </w:rPr>
        <w:t>4</w:t>
      </w:r>
      <w:r>
        <w:rPr>
          <w:rFonts w:ascii="Arial" w:hAnsi="Arial" w:cs="Arial"/>
          <w:sz w:val="20"/>
          <w:szCs w:val="20"/>
          <w:vertAlign w:val="superscript"/>
          <w:lang w:val="es-ES"/>
        </w:rPr>
        <w:t xml:space="preserve"> </w:t>
      </w:r>
      <w:r w:rsidRPr="00A26224">
        <w:rPr>
          <w:rFonts w:ascii="Arial" w:hAnsi="Arial" w:cs="Arial"/>
          <w:sz w:val="20"/>
          <w:szCs w:val="20"/>
          <w:lang w:val="es-ES"/>
        </w:rPr>
        <w:t>En la determinación del número medio de trabajadores se consideran “todas aquellas personas que tengan o hayan tenido una relación laboral con las sociedades del grupo durante el ejercicio, promediadas según el tiempo durante el cual hayan prestado sus servicios”.</w:t>
      </w:r>
    </w:p>
    <w:p w:rsidR="00692636" w:rsidRPr="00A26224" w:rsidRDefault="00692636" w:rsidP="00692636">
      <w:pPr>
        <w:ind w:left="284" w:right="-1" w:hanging="284"/>
        <w:rPr>
          <w:rFonts w:ascii="Arial" w:hAnsi="Arial" w:cs="Arial"/>
          <w:sz w:val="20"/>
          <w:szCs w:val="20"/>
          <w:lang w:val="es-ES"/>
        </w:rPr>
      </w:pPr>
    </w:p>
    <w:p w:rsidR="00692636" w:rsidRDefault="00692636" w:rsidP="00692636">
      <w:pPr>
        <w:pStyle w:val="NormalWeb"/>
        <w:spacing w:before="0" w:beforeAutospacing="0" w:after="0" w:afterAutospacing="0"/>
        <w:ind w:left="284" w:hanging="284"/>
        <w:jc w:val="both"/>
      </w:pPr>
      <w:r w:rsidRPr="003A3780">
        <w:rPr>
          <w:rFonts w:ascii="Arial" w:hAnsi="Arial" w:cs="Arial"/>
          <w:b/>
          <w:color w:val="1F497D" w:themeColor="text2"/>
          <w:sz w:val="20"/>
          <w:szCs w:val="20"/>
          <w:vertAlign w:val="superscript"/>
        </w:rPr>
        <w:t>5</w:t>
      </w:r>
      <w:r>
        <w:rPr>
          <w:rFonts w:ascii="Arial" w:hAnsi="Arial" w:cs="Arial"/>
          <w:b/>
          <w:color w:val="1F497D" w:themeColor="text2"/>
          <w:sz w:val="20"/>
          <w:szCs w:val="20"/>
          <w:vertAlign w:val="superscript"/>
        </w:rPr>
        <w:t xml:space="preserve">  </w:t>
      </w:r>
      <w:r>
        <w:rPr>
          <w:rFonts w:ascii="Arial" w:hAnsi="Arial" w:cs="Arial"/>
          <w:sz w:val="20"/>
          <w:szCs w:val="20"/>
        </w:rPr>
        <w:t>“</w:t>
      </w:r>
      <w:r w:rsidRPr="00607322">
        <w:rPr>
          <w:rFonts w:ascii="Arial" w:hAnsi="Arial" w:cs="Arial"/>
          <w:sz w:val="20"/>
          <w:szCs w:val="20"/>
        </w:rPr>
        <w:t>Cuando un grupo en la fecha de cierre del ejercicio de la sociedad obligada a consolidar pase a cumplir dos de las circunstancias antes indicadas o bien cese de cumplirlas, tal situación únicamente producirá efectos si se repite durante dos ejercicios consecutivos”.</w:t>
      </w:r>
    </w:p>
    <w:p w:rsidR="00692636" w:rsidRDefault="00692636" w:rsidP="00692636">
      <w:pPr>
        <w:pStyle w:val="NormalWeb"/>
        <w:spacing w:before="0" w:beforeAutospacing="0" w:after="0" w:afterAutospacing="0"/>
        <w:jc w:val="both"/>
        <w:rPr>
          <w:rFonts w:ascii="Arial" w:hAnsi="Arial" w:cs="Arial"/>
          <w:sz w:val="22"/>
          <w:szCs w:val="22"/>
        </w:rPr>
      </w:pPr>
    </w:p>
    <w:p w:rsidR="00692636" w:rsidRPr="003F27C1" w:rsidRDefault="00692636" w:rsidP="00692636">
      <w:pPr>
        <w:pStyle w:val="NormalWeb"/>
        <w:spacing w:before="0" w:beforeAutospacing="0" w:after="0" w:afterAutospacing="0"/>
        <w:jc w:val="both"/>
        <w:rPr>
          <w:rFonts w:ascii="Arial" w:hAnsi="Arial" w:cs="Arial"/>
          <w:sz w:val="22"/>
          <w:szCs w:val="22"/>
        </w:rPr>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775"/>
        <w:gridCol w:w="7260"/>
        <w:gridCol w:w="518"/>
      </w:tblGrid>
      <w:tr w:rsidR="00692636" w:rsidTr="00FC33C5">
        <w:trPr>
          <w:cnfStyle w:val="000000100000"/>
        </w:trPr>
        <w:tc>
          <w:tcPr>
            <w:cnfStyle w:val="001000000000"/>
            <w:tcW w:w="635" w:type="dxa"/>
            <w:tcBorders>
              <w:top w:val="nil"/>
              <w:left w:val="nil"/>
              <w:bottom w:val="nil"/>
              <w:right w:val="nil"/>
            </w:tcBorders>
            <w:shd w:val="clear" w:color="auto" w:fill="DBE5F1" w:themeFill="accent1" w:themeFillTint="33"/>
          </w:tcPr>
          <w:p w:rsidR="00692636" w:rsidRDefault="00692636" w:rsidP="00FC33C5">
            <w:pPr>
              <w:ind w:left="0" w:right="-1" w:firstLine="0"/>
              <w:jc w:val="left"/>
              <w:rPr>
                <w:rFonts w:ascii="Arial" w:hAnsi="Arial" w:cs="Arial"/>
                <w:color w:val="1F497D" w:themeColor="text2"/>
                <w:lang w:val="es-ES"/>
              </w:rPr>
            </w:pPr>
            <w:r>
              <w:rPr>
                <w:rFonts w:ascii="Arial" w:hAnsi="Arial" w:cs="Arial"/>
                <w:color w:val="1F497D" w:themeColor="text2"/>
                <w:lang w:val="es-ES"/>
              </w:rPr>
              <w:t>3.3</w:t>
            </w:r>
          </w:p>
        </w:tc>
        <w:tc>
          <w:tcPr>
            <w:tcW w:w="5948" w:type="dxa"/>
            <w:tcBorders>
              <w:top w:val="nil"/>
              <w:left w:val="nil"/>
              <w:bottom w:val="nil"/>
              <w:right w:val="nil"/>
            </w:tcBorders>
            <w:shd w:val="clear" w:color="auto" w:fill="DBE5F1" w:themeFill="accent1" w:themeFillTint="33"/>
          </w:tcPr>
          <w:p w:rsidR="00692636" w:rsidRDefault="00692636" w:rsidP="00FC33C5">
            <w:pPr>
              <w:ind w:left="0" w:right="-1" w:firstLine="0"/>
              <w:jc w:val="left"/>
              <w:cnfStyle w:val="000000100000"/>
              <w:rPr>
                <w:rFonts w:ascii="Arial" w:hAnsi="Arial" w:cs="Arial"/>
                <w:color w:val="1F497D" w:themeColor="text2"/>
                <w:lang w:val="es-ES"/>
              </w:rPr>
            </w:pPr>
            <w:r w:rsidRPr="008C682E">
              <w:rPr>
                <w:rFonts w:ascii="Arial" w:hAnsi="Arial" w:cs="Arial"/>
                <w:color w:val="1F497D" w:themeColor="text2"/>
                <w:lang w:val="es-ES"/>
              </w:rPr>
              <w:t>Nombramiento de auditores</w:t>
            </w:r>
          </w:p>
        </w:tc>
        <w:tc>
          <w:tcPr>
            <w:tcW w:w="424" w:type="dxa"/>
            <w:tcBorders>
              <w:top w:val="nil"/>
              <w:left w:val="nil"/>
              <w:bottom w:val="nil"/>
              <w:right w:val="nil"/>
            </w:tcBorders>
            <w:shd w:val="clear" w:color="auto" w:fill="DBE5F1" w:themeFill="accent1" w:themeFillTint="33"/>
          </w:tcPr>
          <w:p w:rsidR="00692636" w:rsidRDefault="00692636" w:rsidP="00FC33C5">
            <w:pPr>
              <w:ind w:left="0" w:right="-1" w:firstLine="0"/>
              <w:jc w:val="center"/>
              <w:cnfStyle w:val="000000100000"/>
              <w:rPr>
                <w:rFonts w:ascii="Arial" w:hAnsi="Arial" w:cs="Arial"/>
                <w:sz w:val="24"/>
                <w:szCs w:val="24"/>
                <w:lang w:val="es-ES"/>
              </w:rPr>
            </w:pPr>
          </w:p>
        </w:tc>
      </w:tr>
    </w:tbl>
    <w:p w:rsidR="00692636" w:rsidRDefault="00692636" w:rsidP="00692636">
      <w:pPr>
        <w:ind w:left="-142" w:right="-1" w:firstLine="0"/>
        <w:rPr>
          <w:rFonts w:ascii="Arial" w:hAnsi="Arial" w:cs="Arial"/>
          <w:b/>
          <w:color w:val="1F497D" w:themeColor="text2"/>
          <w:sz w:val="24"/>
          <w:szCs w:val="24"/>
          <w:lang w:val="es-ES"/>
        </w:rPr>
      </w:pPr>
    </w:p>
    <w:p w:rsidR="00692636" w:rsidRDefault="00692636" w:rsidP="00692636">
      <w:pPr>
        <w:ind w:left="-142" w:right="-1" w:firstLine="0"/>
        <w:rPr>
          <w:rFonts w:ascii="Arial" w:hAnsi="Arial" w:cs="Arial"/>
          <w:lang w:val="es-ES"/>
        </w:rPr>
      </w:pPr>
      <w:r>
        <w:rPr>
          <w:rFonts w:ascii="Arial" w:hAnsi="Arial" w:cs="Arial"/>
          <w:lang w:val="es-ES"/>
        </w:rPr>
        <w:t>En relación al nombramiento de auditores e</w:t>
      </w:r>
      <w:r w:rsidRPr="006F6D05">
        <w:rPr>
          <w:rFonts w:ascii="Arial" w:hAnsi="Arial" w:cs="Arial"/>
          <w:lang w:val="es-ES"/>
        </w:rPr>
        <w:t xml:space="preserve">l artículo </w:t>
      </w:r>
      <w:r>
        <w:rPr>
          <w:rFonts w:ascii="Arial" w:hAnsi="Arial" w:cs="Arial"/>
          <w:lang w:val="es-ES"/>
        </w:rPr>
        <w:t>264 del TRLSC establece que:</w:t>
      </w:r>
    </w:p>
    <w:p w:rsidR="00692636" w:rsidRDefault="00692636" w:rsidP="00692636">
      <w:pPr>
        <w:ind w:left="-142" w:right="-1" w:firstLine="0"/>
        <w:rPr>
          <w:rFonts w:ascii="Arial" w:hAnsi="Arial" w:cs="Arial"/>
          <w:lang w:val="es-ES"/>
        </w:rPr>
      </w:pPr>
    </w:p>
    <w:p w:rsidR="00692636" w:rsidRPr="006F6D05" w:rsidRDefault="00692636" w:rsidP="00692636">
      <w:pPr>
        <w:pStyle w:val="NormalWeb"/>
        <w:pBdr>
          <w:bottom w:val="single" w:sz="4" w:space="1" w:color="1F497D" w:themeColor="text2"/>
          <w:between w:val="single" w:sz="4" w:space="1" w:color="1F497D" w:themeColor="text2"/>
        </w:pBdr>
        <w:spacing w:before="0" w:beforeAutospacing="0" w:after="0" w:afterAutospacing="0"/>
        <w:ind w:left="284" w:right="566"/>
        <w:jc w:val="both"/>
        <w:rPr>
          <w:rFonts w:ascii="Arial" w:hAnsi="Arial" w:cs="Arial"/>
          <w:sz w:val="20"/>
          <w:szCs w:val="20"/>
        </w:rPr>
      </w:pPr>
      <w:r w:rsidRPr="006F6D05">
        <w:rPr>
          <w:rFonts w:ascii="Arial" w:hAnsi="Arial" w:cs="Arial"/>
          <w:sz w:val="20"/>
          <w:szCs w:val="20"/>
        </w:rPr>
        <w:t>1. La persona que deba ejercer la auditoría de cuentas será nombrada por la junta general antes de que finalice el ejercicio a auditar, por un período de tiempo inicial, que no podrá ser inferior a tres años ni superior a nueve, a contar desde la fecha en que se inicie el primer ejercicio a auditar, sin perjuicio de lo dispuesto en la normativa reguladora de la actividad de auditoría de cuentas respecto a la posibilidad de prórroga.</w:t>
      </w:r>
    </w:p>
    <w:p w:rsidR="00692636" w:rsidRPr="006F6D05" w:rsidRDefault="00692636" w:rsidP="00692636">
      <w:pPr>
        <w:pStyle w:val="NormalWeb"/>
        <w:pBdr>
          <w:bottom w:val="single" w:sz="4" w:space="1" w:color="1F497D" w:themeColor="text2"/>
          <w:between w:val="single" w:sz="4" w:space="1" w:color="1F497D" w:themeColor="text2"/>
        </w:pBdr>
        <w:spacing w:before="0" w:beforeAutospacing="0" w:after="0" w:afterAutospacing="0"/>
        <w:ind w:left="284" w:right="566"/>
        <w:jc w:val="both"/>
        <w:rPr>
          <w:rFonts w:ascii="Arial" w:hAnsi="Arial" w:cs="Arial"/>
          <w:sz w:val="20"/>
          <w:szCs w:val="20"/>
        </w:rPr>
      </w:pPr>
      <w:r w:rsidRPr="006F6D05">
        <w:rPr>
          <w:rFonts w:ascii="Arial" w:hAnsi="Arial" w:cs="Arial"/>
          <w:sz w:val="20"/>
          <w:szCs w:val="20"/>
        </w:rPr>
        <w:t>2. La junta podrá designar a una o varias personas físicas o jurídicas que actuarán conjuntamente. Cuando los designados sean personas físicas, la junta deberá nombrar tantos suplentes como auditores titulares.</w:t>
      </w:r>
    </w:p>
    <w:p w:rsidR="00692636" w:rsidRPr="006F6D05" w:rsidRDefault="00692636" w:rsidP="00692636">
      <w:pPr>
        <w:pStyle w:val="NormalWeb"/>
        <w:pBdr>
          <w:bottom w:val="single" w:sz="4" w:space="1" w:color="1F497D" w:themeColor="text2"/>
          <w:between w:val="single" w:sz="4" w:space="1" w:color="1F497D" w:themeColor="text2"/>
        </w:pBdr>
        <w:spacing w:before="0" w:beforeAutospacing="0" w:after="0" w:afterAutospacing="0"/>
        <w:ind w:left="284" w:right="566"/>
        <w:jc w:val="both"/>
        <w:rPr>
          <w:rFonts w:ascii="Arial" w:hAnsi="Arial" w:cs="Arial"/>
          <w:sz w:val="20"/>
          <w:szCs w:val="20"/>
        </w:rPr>
      </w:pPr>
      <w:r w:rsidRPr="006F6D05">
        <w:rPr>
          <w:rFonts w:ascii="Arial" w:hAnsi="Arial" w:cs="Arial"/>
          <w:sz w:val="20"/>
          <w:szCs w:val="20"/>
        </w:rPr>
        <w:t>3. La junta general no podrá revocar al auditor antes de que finalice el periodo inicial para el que fue nombrado, o antes de que finalice cada uno de los trabajos para los que fue contratado una vez finalizado el periodo inicial, a no ser que medie justa causa.</w:t>
      </w:r>
    </w:p>
    <w:p w:rsidR="00692636" w:rsidRDefault="00692636" w:rsidP="00692636">
      <w:pPr>
        <w:ind w:left="-142" w:right="-1" w:firstLine="0"/>
        <w:rPr>
          <w:rFonts w:ascii="Arial" w:hAnsi="Arial" w:cs="Arial"/>
          <w:lang w:val="es-ES"/>
        </w:rPr>
      </w:pPr>
    </w:p>
    <w:p w:rsidR="00692636" w:rsidRDefault="00692636" w:rsidP="00692636">
      <w:pPr>
        <w:ind w:left="-142" w:right="-1" w:firstLine="0"/>
        <w:rPr>
          <w:rFonts w:ascii="Arial" w:hAnsi="Arial" w:cs="Arial"/>
          <w:lang w:val="es-ES"/>
        </w:rPr>
      </w:pPr>
      <w:r w:rsidRPr="008C682E">
        <w:rPr>
          <w:rFonts w:ascii="Arial" w:hAnsi="Arial" w:cs="Arial"/>
          <w:lang w:val="es-ES"/>
        </w:rPr>
        <w:t>Por otra parte el artículo 265</w:t>
      </w:r>
      <w:r>
        <w:rPr>
          <w:rFonts w:ascii="Arial" w:hAnsi="Arial" w:cs="Arial"/>
          <w:lang w:val="es-ES"/>
        </w:rPr>
        <w:t xml:space="preserve"> de dicha Ley indica que si la j</w:t>
      </w:r>
      <w:r w:rsidRPr="008C682E">
        <w:rPr>
          <w:rFonts w:ascii="Arial" w:hAnsi="Arial" w:cs="Arial"/>
          <w:lang w:val="es-ES"/>
        </w:rPr>
        <w:t>unta</w:t>
      </w:r>
      <w:r>
        <w:rPr>
          <w:rFonts w:ascii="Arial" w:hAnsi="Arial" w:cs="Arial"/>
          <w:lang w:val="es-ES"/>
        </w:rPr>
        <w:t>,</w:t>
      </w:r>
      <w:r w:rsidRPr="008C682E">
        <w:rPr>
          <w:rFonts w:ascii="Arial" w:hAnsi="Arial" w:cs="Arial"/>
          <w:lang w:val="es-ES"/>
        </w:rPr>
        <w:t xml:space="preserve"> estando obligada a nombrar auditor</w:t>
      </w:r>
      <w:r>
        <w:rPr>
          <w:rFonts w:ascii="Arial" w:hAnsi="Arial" w:cs="Arial"/>
          <w:lang w:val="es-ES"/>
        </w:rPr>
        <w:t>,</w:t>
      </w:r>
      <w:r w:rsidRPr="008C682E">
        <w:rPr>
          <w:rFonts w:ascii="Arial" w:hAnsi="Arial" w:cs="Arial"/>
          <w:lang w:val="es-ES"/>
        </w:rPr>
        <w:t xml:space="preserve"> no lo ha efectuado antes de que finalice el ejercicio</w:t>
      </w:r>
      <w:r>
        <w:rPr>
          <w:rFonts w:ascii="Arial" w:hAnsi="Arial" w:cs="Arial"/>
          <w:lang w:val="es-ES"/>
        </w:rPr>
        <w:t xml:space="preserve"> a auditar o la persona nombrada</w:t>
      </w:r>
      <w:r w:rsidRPr="008C682E">
        <w:rPr>
          <w:rFonts w:ascii="Arial" w:hAnsi="Arial" w:cs="Arial"/>
          <w:lang w:val="es-ES"/>
        </w:rPr>
        <w:t xml:space="preserve"> no ha aceptado el encargo o no puede realizarlo, “los administradores y cualquier socio podrán solicitar del registrador mercantil del domicilio social la designación de la persona o persona</w:t>
      </w:r>
      <w:r>
        <w:rPr>
          <w:rFonts w:ascii="Arial" w:hAnsi="Arial" w:cs="Arial"/>
          <w:lang w:val="es-ES"/>
        </w:rPr>
        <w:t>s que deban realizar la auditorí</w:t>
      </w:r>
      <w:r w:rsidRPr="008C682E">
        <w:rPr>
          <w:rFonts w:ascii="Arial" w:hAnsi="Arial" w:cs="Arial"/>
          <w:lang w:val="es-ES"/>
        </w:rPr>
        <w:t>a, de acuerdo con lo dispuesto en el Reglamento del Registro Mercantil”.</w:t>
      </w:r>
      <w:r>
        <w:rPr>
          <w:rFonts w:ascii="Arial" w:hAnsi="Arial" w:cs="Arial"/>
          <w:lang w:val="es-ES"/>
        </w:rPr>
        <w:t xml:space="preserve"> </w:t>
      </w:r>
      <w:r w:rsidRPr="008C682E">
        <w:rPr>
          <w:rFonts w:ascii="Arial" w:hAnsi="Arial" w:cs="Arial"/>
          <w:lang w:val="es-ES"/>
        </w:rPr>
        <w:t xml:space="preserve">En las sociedades anónimas, </w:t>
      </w:r>
      <w:r>
        <w:rPr>
          <w:rFonts w:ascii="Arial" w:hAnsi="Arial" w:cs="Arial"/>
          <w:lang w:val="es-ES"/>
        </w:rPr>
        <w:t xml:space="preserve">se </w:t>
      </w:r>
      <w:r w:rsidRPr="008C682E">
        <w:rPr>
          <w:rFonts w:ascii="Arial" w:hAnsi="Arial" w:cs="Arial"/>
          <w:lang w:val="es-ES"/>
        </w:rPr>
        <w:t>contempla también que la solicitud pueda realizarla el comisario del sindicato de obligacionistas.</w:t>
      </w:r>
    </w:p>
    <w:p w:rsidR="00692636" w:rsidRDefault="00692636" w:rsidP="00692636">
      <w:pPr>
        <w:ind w:left="-142" w:right="-1" w:firstLine="0"/>
        <w:rPr>
          <w:rFonts w:ascii="Arial" w:hAnsi="Arial" w:cs="Arial"/>
          <w:lang w:val="es-ES"/>
        </w:rPr>
      </w:pPr>
    </w:p>
    <w:p w:rsidR="00692636" w:rsidRDefault="00692636" w:rsidP="00692636">
      <w:pPr>
        <w:ind w:left="-142" w:right="-1" w:firstLine="0"/>
        <w:rPr>
          <w:rFonts w:ascii="Arial" w:hAnsi="Arial" w:cs="Arial"/>
          <w:lang w:val="es-ES"/>
        </w:rPr>
      </w:pPr>
      <w:r w:rsidRPr="00FA3854">
        <w:rPr>
          <w:rFonts w:ascii="Arial" w:hAnsi="Arial" w:cs="Arial"/>
          <w:lang w:val="es-ES"/>
        </w:rPr>
        <w:t>En relación a la posibilidad de prórroga al contrato inicial</w:t>
      </w:r>
      <w:r>
        <w:rPr>
          <w:rFonts w:ascii="Arial" w:hAnsi="Arial" w:cs="Arial"/>
          <w:lang w:val="es-ES"/>
        </w:rPr>
        <w:t>, el artículo 19 del TRLAC establece que una vez finalizado el periodo inicial de contratación, los auditores de cuentas podrán ser contratados por periodos máximos sucesivos de tres años y que, si finalizado el periodo inicial de contratación o de prórroga, “ni el auditor de cuentas o la sociedad de auditoría ni la entidad auditada manifestaren su voluntad en contrario, el contrato quedará tácitamente prorrogado por un plazo de tres años”. El desarrollo reglamentario de dicha prórroga tácita se establece en los apartados 1 y 2 del artículo 52 del RTRLAC, según el siguiente detalle:</w:t>
      </w:r>
    </w:p>
    <w:p w:rsidR="00DA328F" w:rsidRDefault="00DA328F" w:rsidP="00692636">
      <w:pPr>
        <w:ind w:left="-142" w:right="-1" w:firstLine="0"/>
        <w:rPr>
          <w:rFonts w:ascii="Arial" w:hAnsi="Arial" w:cs="Arial"/>
          <w:lang w:val="es-ES"/>
        </w:rPr>
      </w:pPr>
    </w:p>
    <w:p w:rsidR="00692636" w:rsidRDefault="00692636" w:rsidP="00692636">
      <w:pPr>
        <w:ind w:left="-142" w:right="-1" w:firstLine="0"/>
        <w:rPr>
          <w:rFonts w:ascii="Arial" w:hAnsi="Arial" w:cs="Arial"/>
          <w:lang w:val="es-ES"/>
        </w:rPr>
      </w:pPr>
    </w:p>
    <w:p w:rsidR="00692636" w:rsidRPr="006E79A8" w:rsidRDefault="00692636" w:rsidP="00692636">
      <w:pPr>
        <w:pStyle w:val="Pa8"/>
        <w:pBdr>
          <w:bottom w:val="single" w:sz="4" w:space="1" w:color="1F497D" w:themeColor="text2"/>
          <w:between w:val="single" w:sz="4" w:space="1" w:color="1F497D" w:themeColor="text2"/>
        </w:pBdr>
        <w:ind w:left="284" w:right="424"/>
        <w:jc w:val="both"/>
        <w:rPr>
          <w:color w:val="000000"/>
          <w:sz w:val="20"/>
          <w:szCs w:val="20"/>
        </w:rPr>
      </w:pPr>
      <w:r w:rsidRPr="006E79A8">
        <w:rPr>
          <w:color w:val="000000"/>
          <w:sz w:val="20"/>
          <w:szCs w:val="20"/>
        </w:rPr>
        <w:t>1. Una vez ha finalizado el periodo por el que fueron contratados los auditores de cuentas y las sociedades de auditoría para realizar la auditoría de cuentas, podrán ser prorrogados expresamente, incluso de forma sucesiva, por periodos máximos de hasta tres años.</w:t>
      </w:r>
    </w:p>
    <w:p w:rsidR="00692636" w:rsidRDefault="00692636" w:rsidP="00692636">
      <w:pPr>
        <w:pBdr>
          <w:bottom w:val="single" w:sz="4" w:space="1" w:color="1F497D" w:themeColor="text2"/>
          <w:between w:val="single" w:sz="4" w:space="1" w:color="1F497D" w:themeColor="text2"/>
        </w:pBdr>
        <w:ind w:left="284" w:right="424" w:firstLine="0"/>
        <w:rPr>
          <w:rFonts w:ascii="Arial" w:hAnsi="Arial" w:cs="Arial"/>
          <w:color w:val="000000"/>
          <w:sz w:val="20"/>
          <w:szCs w:val="20"/>
          <w:lang w:val="es-ES"/>
        </w:rPr>
      </w:pPr>
      <w:r w:rsidRPr="006E79A8">
        <w:rPr>
          <w:rFonts w:ascii="Arial" w:hAnsi="Arial" w:cs="Arial"/>
          <w:color w:val="000000"/>
          <w:sz w:val="20"/>
          <w:szCs w:val="20"/>
          <w:lang w:val="es-ES"/>
        </w:rPr>
        <w:t xml:space="preserve">2. Para que el contrato de auditoría quede tácitamente prorrogado por un plazo de tres años, el auditor de cuentas o sociedad de auditoría y la entidad auditada no deberán manifestar su voluntad en contrario antes de que finalice el último ejercicio por el que fueron inicialmente contratados o anteriormente prorrogados, sin perjuicio de la información de dicha prórroga en la Junta General de socios. </w:t>
      </w:r>
    </w:p>
    <w:p w:rsidR="00692636" w:rsidRPr="006E79A8" w:rsidRDefault="00692636" w:rsidP="00692636">
      <w:pPr>
        <w:pBdr>
          <w:bottom w:val="single" w:sz="4" w:space="1" w:color="1F497D" w:themeColor="text2"/>
          <w:between w:val="single" w:sz="4" w:space="1" w:color="1F497D" w:themeColor="text2"/>
        </w:pBdr>
        <w:ind w:left="284" w:right="424" w:firstLine="0"/>
        <w:rPr>
          <w:rFonts w:ascii="Arial" w:hAnsi="Arial" w:cs="Arial"/>
          <w:lang w:val="es-ES"/>
        </w:rPr>
      </w:pPr>
      <w:r w:rsidRPr="006E79A8">
        <w:rPr>
          <w:rFonts w:ascii="Arial" w:hAnsi="Arial" w:cs="Arial"/>
          <w:color w:val="000000"/>
          <w:sz w:val="20"/>
          <w:szCs w:val="20"/>
          <w:lang w:val="es-ES"/>
        </w:rPr>
        <w:t>Lo anterior no exime del deber de comunicar tal hecho en el Registro Mercantil correspondiente al domicilio social de la entidad auditada, mediante acuerdo o certificado suscrito por quien tenga competencia legal o estatutaria en la entidad auditada, en un plazo que no podrá ir más allá de la fecha en que se presenten para su depósito las cuentas anuales auditadas correspondientes al último ejercicio del periodo contratado.</w:t>
      </w:r>
    </w:p>
    <w:p w:rsidR="00DB2624" w:rsidRDefault="00DB2624" w:rsidP="00692636">
      <w:pPr>
        <w:ind w:left="-142" w:right="-1" w:firstLine="0"/>
        <w:rPr>
          <w:rFonts w:ascii="Arial" w:hAnsi="Arial" w:cs="Arial"/>
          <w:lang w:val="es-ES"/>
        </w:rPr>
      </w:pPr>
    </w:p>
    <w:p w:rsidR="00DB2624" w:rsidRDefault="00DB2624" w:rsidP="00692636">
      <w:pPr>
        <w:ind w:left="-142" w:right="-1" w:firstLine="0"/>
        <w:rPr>
          <w:rFonts w:ascii="Arial" w:hAnsi="Arial" w:cs="Arial"/>
          <w:lang w:val="es-ES"/>
        </w:rPr>
      </w:pPr>
    </w:p>
    <w:p w:rsidR="00692636" w:rsidRPr="00FA3854" w:rsidRDefault="00692636" w:rsidP="00692636">
      <w:pPr>
        <w:ind w:left="-142" w:right="-1" w:firstLine="0"/>
        <w:rPr>
          <w:rFonts w:ascii="Arial" w:hAnsi="Arial" w:cs="Arial"/>
          <w:lang w:val="es-ES"/>
        </w:rPr>
      </w:pPr>
      <w:r w:rsidRPr="005B7BE8">
        <w:rPr>
          <w:rFonts w:ascii="Arial" w:hAnsi="Arial" w:cs="Arial"/>
          <w:lang w:val="es-ES"/>
        </w:rPr>
        <w:t>En relación a la posible rescisión del contrato de auditoría o revocación del nombramiento de auditor por los órganos competentes por mediar justa causa el artículo 19 del TRLAC matiza que “las divergencias de opiniones sobre tratamientos contables o procedimientos de auditoría no son justa causa”.</w:t>
      </w:r>
    </w:p>
    <w:p w:rsidR="00692636" w:rsidRDefault="00692636" w:rsidP="00692636">
      <w:pPr>
        <w:ind w:left="-142" w:right="-1" w:firstLine="0"/>
        <w:rPr>
          <w:rFonts w:ascii="Arial" w:hAnsi="Arial" w:cs="Arial"/>
          <w:lang w:val="es-ES"/>
        </w:rPr>
      </w:pPr>
    </w:p>
    <w:p w:rsidR="00692636" w:rsidRDefault="00692636" w:rsidP="00692636">
      <w:pPr>
        <w:ind w:left="-142" w:right="-1" w:firstLine="0"/>
        <w:rPr>
          <w:rFonts w:ascii="Arial" w:hAnsi="Arial" w:cs="Arial"/>
          <w:lang w:val="es-ES"/>
        </w:rPr>
      </w:pPr>
      <w:r>
        <w:rPr>
          <w:rFonts w:ascii="Arial" w:hAnsi="Arial" w:cs="Arial"/>
          <w:lang w:val="es-ES"/>
        </w:rPr>
        <w:t>Continuando con el nombramiento de auditores, la solicitud de auditoría por parte de un minoritario queda regulada en el mismo artículo 265 del TRLSC según el siguiente detalle:</w:t>
      </w:r>
    </w:p>
    <w:p w:rsidR="00692636" w:rsidRDefault="00692636" w:rsidP="00692636">
      <w:pPr>
        <w:ind w:left="-142" w:right="-1" w:firstLine="0"/>
        <w:rPr>
          <w:rFonts w:ascii="Arial" w:hAnsi="Arial" w:cs="Arial"/>
          <w:lang w:val="es-ES"/>
        </w:rPr>
      </w:pPr>
    </w:p>
    <w:p w:rsidR="00692636" w:rsidRPr="008C682E" w:rsidRDefault="00692636" w:rsidP="00692636">
      <w:pPr>
        <w:ind w:left="284" w:right="566" w:firstLine="0"/>
        <w:rPr>
          <w:rFonts w:ascii="Arial" w:hAnsi="Arial" w:cs="Arial"/>
          <w:sz w:val="20"/>
          <w:szCs w:val="20"/>
          <w:lang w:val="es-ES"/>
        </w:rPr>
      </w:pPr>
      <w:r w:rsidRPr="008C682E">
        <w:rPr>
          <w:rFonts w:ascii="Arial" w:hAnsi="Arial" w:cs="Arial"/>
          <w:sz w:val="20"/>
          <w:szCs w:val="20"/>
          <w:lang w:val="es-ES"/>
        </w:rPr>
        <w:t>En las sociedades que no estén obligadas a someter las cuentas anuales a verificación por un auditor, los socios que representen, al menos, el cinco por ciento del capital social podrán solicitar del registrador mercantil del domicilio social que, con cargo a la sociedad, nombre un auditor de cuentas para que efectúe la revisión de las cuentas anuales de un determinado ejercicio siempre que no hubieran transcurrido tres meses a contar desde la fecha de cierre de dicho ejercicio.</w:t>
      </w:r>
    </w:p>
    <w:p w:rsidR="00692636" w:rsidRDefault="00692636" w:rsidP="00692636">
      <w:pPr>
        <w:ind w:left="-142" w:right="-1" w:firstLine="0"/>
        <w:rPr>
          <w:rFonts w:ascii="Arial" w:hAnsi="Arial" w:cs="Arial"/>
          <w:b/>
          <w:color w:val="1F497D" w:themeColor="text2"/>
          <w:sz w:val="24"/>
          <w:szCs w:val="24"/>
          <w:lang w:val="es-ES"/>
        </w:rPr>
      </w:pPr>
    </w:p>
    <w:p w:rsidR="00692636" w:rsidRDefault="00692636" w:rsidP="00692636">
      <w:pPr>
        <w:ind w:left="-142" w:right="-1" w:firstLine="0"/>
        <w:rPr>
          <w:rFonts w:ascii="Arial" w:hAnsi="Arial" w:cs="Arial"/>
          <w:lang w:val="es-ES"/>
        </w:rPr>
      </w:pPr>
      <w:r w:rsidRPr="008C682E">
        <w:rPr>
          <w:rFonts w:ascii="Arial" w:hAnsi="Arial" w:cs="Arial"/>
          <w:lang w:val="es-ES"/>
        </w:rPr>
        <w:t>Por último el artículo 266 del TRLSC contempla que “cuando concurra justa causa, los administradores de la sociedad y las personas legitimadas para solicitar el nombramiento de auditor podrán pedir al juez la revocación del designado por la junta general o por el registrador mercantil y el nombramiento de otro”.</w:t>
      </w:r>
    </w:p>
    <w:p w:rsidR="00692636" w:rsidRPr="008C682E" w:rsidRDefault="00692636" w:rsidP="00692636">
      <w:pPr>
        <w:ind w:left="-142" w:right="-1" w:firstLine="0"/>
        <w:rPr>
          <w:rFonts w:ascii="Arial" w:hAnsi="Arial" w:cs="Arial"/>
          <w:lang w:val="es-ES"/>
        </w:rPr>
      </w:pPr>
    </w:p>
    <w:p w:rsidR="00692636" w:rsidRDefault="00692636" w:rsidP="00692636">
      <w:pPr>
        <w:ind w:left="0" w:right="-1" w:firstLine="0"/>
        <w:rPr>
          <w:rFonts w:ascii="Arial" w:hAnsi="Arial" w:cs="Arial"/>
          <w:b/>
          <w:color w:val="1F497D" w:themeColor="text2"/>
          <w:sz w:val="24"/>
          <w:szCs w:val="24"/>
          <w:lang w:val="es-ES"/>
        </w:rPr>
      </w:pPr>
    </w:p>
    <w:tbl>
      <w:tblPr>
        <w:tblStyle w:val="Listamedia1-nfasis6"/>
        <w:tblW w:w="8553" w:type="dxa"/>
        <w:tblInd w:w="-34" w:type="dxa"/>
        <w:tblBorders>
          <w:top w:val="none" w:sz="0" w:space="0" w:color="auto"/>
          <w:bottom w:val="none" w:sz="0" w:space="0" w:color="auto"/>
        </w:tblBorders>
        <w:tblLook w:val="0480"/>
      </w:tblPr>
      <w:tblGrid>
        <w:gridCol w:w="775"/>
        <w:gridCol w:w="7260"/>
        <w:gridCol w:w="518"/>
      </w:tblGrid>
      <w:tr w:rsidR="00692636" w:rsidTr="00FC33C5">
        <w:trPr>
          <w:cnfStyle w:val="000000100000"/>
        </w:trPr>
        <w:tc>
          <w:tcPr>
            <w:cnfStyle w:val="001000000000"/>
            <w:tcW w:w="635" w:type="dxa"/>
            <w:shd w:val="clear" w:color="auto" w:fill="DBE5F1" w:themeFill="accent1" w:themeFillTint="33"/>
          </w:tcPr>
          <w:p w:rsidR="00692636" w:rsidRDefault="00692636" w:rsidP="00FC33C5">
            <w:pPr>
              <w:ind w:left="0" w:right="-1" w:firstLine="0"/>
              <w:jc w:val="left"/>
              <w:rPr>
                <w:rFonts w:ascii="Arial" w:hAnsi="Arial" w:cs="Arial"/>
                <w:color w:val="1F497D" w:themeColor="text2"/>
                <w:lang w:val="es-ES"/>
              </w:rPr>
            </w:pPr>
            <w:r>
              <w:rPr>
                <w:rFonts w:ascii="Arial" w:hAnsi="Arial" w:cs="Arial"/>
                <w:color w:val="1F497D" w:themeColor="text2"/>
                <w:lang w:val="es-ES"/>
              </w:rPr>
              <w:t>3.4</w:t>
            </w:r>
          </w:p>
        </w:tc>
        <w:tc>
          <w:tcPr>
            <w:tcW w:w="5948" w:type="dxa"/>
            <w:shd w:val="clear" w:color="auto" w:fill="DBE5F1" w:themeFill="accent1" w:themeFillTint="33"/>
          </w:tcPr>
          <w:p w:rsidR="00692636" w:rsidRDefault="00692636"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Formulación de cuentas anuales en el primer ejercicio de auditoría obligatoria: inclusión de cifras comparativas</w:t>
            </w:r>
          </w:p>
        </w:tc>
        <w:tc>
          <w:tcPr>
            <w:tcW w:w="424" w:type="dxa"/>
            <w:shd w:val="clear" w:color="auto" w:fill="DBE5F1" w:themeFill="accent1" w:themeFillTint="33"/>
          </w:tcPr>
          <w:p w:rsidR="00692636" w:rsidRDefault="00692636" w:rsidP="00FC33C5">
            <w:pPr>
              <w:ind w:left="0" w:right="-1" w:firstLine="0"/>
              <w:jc w:val="center"/>
              <w:cnfStyle w:val="000000100000"/>
              <w:rPr>
                <w:rFonts w:ascii="Arial" w:hAnsi="Arial" w:cs="Arial"/>
                <w:sz w:val="24"/>
                <w:szCs w:val="24"/>
                <w:lang w:val="es-ES"/>
              </w:rPr>
            </w:pPr>
          </w:p>
        </w:tc>
      </w:tr>
    </w:tbl>
    <w:p w:rsidR="00692636" w:rsidRDefault="00692636" w:rsidP="00692636">
      <w:pPr>
        <w:pBdr>
          <w:bottom w:val="single" w:sz="4" w:space="1" w:color="1F497D" w:themeColor="text2"/>
        </w:pBdr>
        <w:ind w:left="-142" w:right="-1" w:firstLine="0"/>
        <w:rPr>
          <w:rFonts w:ascii="Arial" w:hAnsi="Arial" w:cs="Arial"/>
          <w:b/>
          <w:color w:val="1F497D" w:themeColor="text2"/>
          <w:sz w:val="24"/>
          <w:szCs w:val="24"/>
          <w:lang w:val="es-ES"/>
        </w:rPr>
      </w:pPr>
    </w:p>
    <w:p w:rsidR="00692636" w:rsidRDefault="00692636" w:rsidP="00692636">
      <w:pPr>
        <w:pBdr>
          <w:bottom w:val="single" w:sz="4" w:space="1" w:color="1F497D" w:themeColor="text2"/>
        </w:pBdr>
        <w:ind w:left="-142" w:right="-1" w:firstLine="0"/>
        <w:rPr>
          <w:rFonts w:ascii="Arial" w:hAnsi="Arial" w:cs="Arial"/>
          <w:lang w:val="es-ES"/>
        </w:rPr>
      </w:pPr>
      <w:r>
        <w:rPr>
          <w:rFonts w:ascii="Arial" w:hAnsi="Arial" w:cs="Arial"/>
          <w:lang w:val="es-ES"/>
        </w:rPr>
        <w:t xml:space="preserve">Las cuentas anuales siempre deben incluir información comparativa según lo establecido en las normas de elaboración de las cuentas anuales del </w:t>
      </w:r>
      <w:r w:rsidRPr="00D57F6E">
        <w:rPr>
          <w:rFonts w:ascii="Arial" w:hAnsi="Arial" w:cs="Arial"/>
          <w:lang w:val="es-ES"/>
        </w:rPr>
        <w:t>PGC</w:t>
      </w:r>
      <w:r>
        <w:rPr>
          <w:rFonts w:ascii="Arial" w:hAnsi="Arial" w:cs="Arial"/>
          <w:lang w:val="es-ES"/>
        </w:rPr>
        <w:t>, es decir en los estados contables en cada partida, además de figurar las cifras del ejercicio que se cierre, deben incluirse las correspondientes al ejercicio inmediatamente anterior y la información cuantitativa de la memoria también debe ser comparativo, excepto que específicamente una norma contable indique lo contrario.</w:t>
      </w:r>
    </w:p>
    <w:p w:rsidR="00692636" w:rsidRDefault="00692636" w:rsidP="00692636">
      <w:pPr>
        <w:pBdr>
          <w:bottom w:val="single" w:sz="4" w:space="1" w:color="1F497D" w:themeColor="text2"/>
        </w:pBdr>
        <w:ind w:left="-142" w:right="-1" w:firstLine="0"/>
        <w:rPr>
          <w:rFonts w:ascii="Arial" w:hAnsi="Arial" w:cs="Arial"/>
          <w:lang w:val="es-ES"/>
        </w:rPr>
      </w:pPr>
    </w:p>
    <w:p w:rsidR="00692636" w:rsidRPr="00B92680" w:rsidRDefault="00692636" w:rsidP="00692636">
      <w:pPr>
        <w:pBdr>
          <w:bottom w:val="single" w:sz="4" w:space="1" w:color="1F497D" w:themeColor="text2"/>
        </w:pBdr>
        <w:ind w:left="-142" w:right="-1" w:firstLine="0"/>
        <w:rPr>
          <w:rFonts w:ascii="Arial" w:hAnsi="Arial" w:cs="Arial"/>
          <w:lang w:val="es-ES"/>
        </w:rPr>
      </w:pPr>
      <w:r w:rsidRPr="00B92680">
        <w:rPr>
          <w:rFonts w:ascii="Arial" w:hAnsi="Arial" w:cs="Arial"/>
          <w:lang w:val="es-ES"/>
        </w:rPr>
        <w:t>Si el primer ejercicio de auditoría obligatoria se debe a que la sociedad supera los límites reglamentarios señalados en el apartado 3.1b) anterior y por tanto pasa a formular balance y estado de cambios en el patrimonio neto normal, debe inclui</w:t>
      </w:r>
      <w:r>
        <w:rPr>
          <w:rFonts w:ascii="Arial" w:hAnsi="Arial" w:cs="Arial"/>
          <w:lang w:val="es-ES"/>
        </w:rPr>
        <w:t>r cifras comparativas en los términos indicados y por tanto las cifras correspondientes al ejercicio inmediatamente anterior deberán presentarse siguiendo los formatos de balance y estado de cambios en el patrimonio neto normales.</w:t>
      </w:r>
    </w:p>
    <w:p w:rsidR="00815E91" w:rsidRPr="00692636" w:rsidRDefault="00815E91">
      <w:pPr>
        <w:rPr>
          <w:lang w:val="es-ES"/>
        </w:rPr>
      </w:pPr>
    </w:p>
    <w:sectPr w:rsidR="00815E91" w:rsidRPr="00692636" w:rsidSect="00DB2624">
      <w:footerReference w:type="default" r:id="rId7"/>
      <w:pgSz w:w="11906" w:h="16838"/>
      <w:pgMar w:top="1417" w:right="1274"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72" w:rsidRDefault="003D5B72" w:rsidP="00DB2624">
      <w:r>
        <w:separator/>
      </w:r>
    </w:p>
  </w:endnote>
  <w:endnote w:type="continuationSeparator" w:id="0">
    <w:p w:rsidR="003D5B72" w:rsidRDefault="003D5B72" w:rsidP="00DB26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24" w:rsidRDefault="00DB2624" w:rsidP="00DB2624">
    <w:pPr>
      <w:pStyle w:val="Piedepgina"/>
      <w:jc w:val="right"/>
    </w:pPr>
    <w:proofErr w:type="spellStart"/>
    <w:r>
      <w:t>lunio</w:t>
    </w:r>
    <w:proofErr w:type="spellEnd"/>
    <w:r>
      <w:t xml:space="preserve"> 2013</w:t>
    </w:r>
  </w:p>
  <w:p w:rsidR="00DB2624" w:rsidRDefault="00DB26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72" w:rsidRDefault="003D5B72" w:rsidP="00DB2624">
      <w:r>
        <w:separator/>
      </w:r>
    </w:p>
  </w:footnote>
  <w:footnote w:type="continuationSeparator" w:id="0">
    <w:p w:rsidR="003D5B72" w:rsidRDefault="003D5B72" w:rsidP="00DB2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73BE"/>
    <w:multiLevelType w:val="hybridMultilevel"/>
    <w:tmpl w:val="2D5810D6"/>
    <w:lvl w:ilvl="0" w:tplc="943EB402">
      <w:start w:val="1"/>
      <w:numFmt w:val="bullet"/>
      <w:lvlText w:val=""/>
      <w:lvlJc w:val="left"/>
      <w:pPr>
        <w:ind w:left="720" w:hanging="360"/>
      </w:pPr>
      <w:rPr>
        <w:rFonts w:ascii="Wingdings" w:hAnsi="Wingdings" w:hint="default"/>
        <w:b w:val="0"/>
        <w:i w:val="0"/>
        <w:color w:val="244061" w:themeColor="accent1" w:themeShade="8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1433E8"/>
    <w:multiLevelType w:val="hybridMultilevel"/>
    <w:tmpl w:val="03AC1902"/>
    <w:lvl w:ilvl="0" w:tplc="943EB402">
      <w:start w:val="1"/>
      <w:numFmt w:val="bullet"/>
      <w:lvlText w:val=""/>
      <w:lvlJc w:val="left"/>
      <w:pPr>
        <w:ind w:left="720" w:hanging="360"/>
      </w:pPr>
      <w:rPr>
        <w:rFonts w:ascii="Wingdings" w:hAnsi="Wingdings" w:hint="default"/>
        <w:b w:val="0"/>
        <w:i w:val="0"/>
        <w:color w:val="244061" w:themeColor="accent1" w:themeShade="8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B96069"/>
    <w:multiLevelType w:val="multilevel"/>
    <w:tmpl w:val="AFB41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0E55D55"/>
    <w:multiLevelType w:val="hybridMultilevel"/>
    <w:tmpl w:val="FFCE0B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4C497E"/>
    <w:multiLevelType w:val="hybridMultilevel"/>
    <w:tmpl w:val="49EEB114"/>
    <w:lvl w:ilvl="0" w:tplc="943EB402">
      <w:start w:val="1"/>
      <w:numFmt w:val="bullet"/>
      <w:lvlText w:val=""/>
      <w:lvlJc w:val="left"/>
      <w:pPr>
        <w:ind w:left="720" w:hanging="360"/>
      </w:pPr>
      <w:rPr>
        <w:rFonts w:ascii="Wingdings" w:hAnsi="Wingdings" w:hint="default"/>
        <w:b w:val="0"/>
        <w:i w:val="0"/>
        <w:color w:val="244061" w:themeColor="accent1" w:themeShade="8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A12A12"/>
    <w:multiLevelType w:val="multilevel"/>
    <w:tmpl w:val="51048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B100FF1"/>
    <w:multiLevelType w:val="hybridMultilevel"/>
    <w:tmpl w:val="78FCD8D8"/>
    <w:lvl w:ilvl="0" w:tplc="943EB402">
      <w:start w:val="1"/>
      <w:numFmt w:val="bullet"/>
      <w:lvlText w:val=""/>
      <w:lvlJc w:val="left"/>
      <w:pPr>
        <w:ind w:left="753" w:hanging="360"/>
      </w:pPr>
      <w:rPr>
        <w:rFonts w:ascii="Wingdings" w:hAnsi="Wingdings" w:hint="default"/>
        <w:b w:val="0"/>
        <w:i w:val="0"/>
        <w:color w:val="244061" w:themeColor="accent1" w:themeShade="80"/>
        <w:sz w:val="24"/>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7">
    <w:nsid w:val="7DF73ED1"/>
    <w:multiLevelType w:val="multilevel"/>
    <w:tmpl w:val="22DCB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92636"/>
    <w:rsid w:val="00332916"/>
    <w:rsid w:val="003D5B72"/>
    <w:rsid w:val="004510AA"/>
    <w:rsid w:val="004A4748"/>
    <w:rsid w:val="00647C84"/>
    <w:rsid w:val="00692636"/>
    <w:rsid w:val="007C372B"/>
    <w:rsid w:val="00815E91"/>
    <w:rsid w:val="0083198E"/>
    <w:rsid w:val="0083309E"/>
    <w:rsid w:val="00A33E14"/>
    <w:rsid w:val="00B52ED8"/>
    <w:rsid w:val="00C77A02"/>
    <w:rsid w:val="00C9017D"/>
    <w:rsid w:val="00C95604"/>
    <w:rsid w:val="00CC4118"/>
    <w:rsid w:val="00D97303"/>
    <w:rsid w:val="00DA328F"/>
    <w:rsid w:val="00DB2624"/>
    <w:rsid w:val="00DC4B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36"/>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6">
    <w:name w:val="Medium List 1 Accent 6"/>
    <w:basedOn w:val="Tablanormal"/>
    <w:uiPriority w:val="65"/>
    <w:rsid w:val="00692636"/>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Prrafodelista">
    <w:name w:val="List Paragraph"/>
    <w:basedOn w:val="Normal"/>
    <w:uiPriority w:val="34"/>
    <w:qFormat/>
    <w:rsid w:val="00692636"/>
    <w:pPr>
      <w:ind w:left="720"/>
      <w:contextualSpacing/>
    </w:pPr>
  </w:style>
  <w:style w:type="table" w:styleId="Tablaconcuadrcula">
    <w:name w:val="Table Grid"/>
    <w:basedOn w:val="Tablanormal"/>
    <w:uiPriority w:val="59"/>
    <w:rsid w:val="00692636"/>
    <w:pPr>
      <w:spacing w:after="0" w:line="240" w:lineRule="auto"/>
      <w:ind w:left="714"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92636"/>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customStyle="1" w:styleId="Default">
    <w:name w:val="Default"/>
    <w:rsid w:val="00692636"/>
    <w:pPr>
      <w:autoSpaceDE w:val="0"/>
      <w:autoSpaceDN w:val="0"/>
      <w:adjustRightInd w:val="0"/>
      <w:spacing w:after="0" w:line="240" w:lineRule="auto"/>
    </w:pPr>
    <w:rPr>
      <w:rFonts w:ascii="Verdana" w:eastAsia="Calibri" w:hAnsi="Verdana" w:cs="Verdana"/>
      <w:color w:val="000000"/>
      <w:sz w:val="24"/>
      <w:szCs w:val="24"/>
      <w:lang w:eastAsia="es-ES"/>
    </w:rPr>
  </w:style>
  <w:style w:type="paragraph" w:customStyle="1" w:styleId="Pa8">
    <w:name w:val="Pa8"/>
    <w:basedOn w:val="Default"/>
    <w:next w:val="Default"/>
    <w:uiPriority w:val="99"/>
    <w:rsid w:val="00692636"/>
    <w:pPr>
      <w:spacing w:line="201" w:lineRule="atLeast"/>
    </w:pPr>
    <w:rPr>
      <w:rFonts w:ascii="Arial" w:eastAsiaTheme="minorHAnsi" w:hAnsi="Arial" w:cs="Arial"/>
      <w:color w:val="auto"/>
      <w:lang w:eastAsia="en-US"/>
    </w:rPr>
  </w:style>
  <w:style w:type="paragraph" w:styleId="Encabezado">
    <w:name w:val="header"/>
    <w:basedOn w:val="Normal"/>
    <w:link w:val="EncabezadoCar"/>
    <w:uiPriority w:val="99"/>
    <w:semiHidden/>
    <w:unhideWhenUsed/>
    <w:rsid w:val="00DB2624"/>
    <w:pPr>
      <w:tabs>
        <w:tab w:val="center" w:pos="4252"/>
        <w:tab w:val="right" w:pos="8504"/>
      </w:tabs>
    </w:pPr>
  </w:style>
  <w:style w:type="character" w:customStyle="1" w:styleId="EncabezadoCar">
    <w:name w:val="Encabezado Car"/>
    <w:basedOn w:val="Fuentedeprrafopredeter"/>
    <w:link w:val="Encabezado"/>
    <w:uiPriority w:val="99"/>
    <w:semiHidden/>
    <w:rsid w:val="00DB2624"/>
    <w:rPr>
      <w:lang w:val="ca-ES"/>
    </w:rPr>
  </w:style>
  <w:style w:type="paragraph" w:styleId="Piedepgina">
    <w:name w:val="footer"/>
    <w:basedOn w:val="Normal"/>
    <w:link w:val="PiedepginaCar"/>
    <w:uiPriority w:val="99"/>
    <w:unhideWhenUsed/>
    <w:rsid w:val="00DB2624"/>
    <w:pPr>
      <w:tabs>
        <w:tab w:val="center" w:pos="4252"/>
        <w:tab w:val="right" w:pos="8504"/>
      </w:tabs>
    </w:pPr>
  </w:style>
  <w:style w:type="character" w:customStyle="1" w:styleId="PiedepginaCar">
    <w:name w:val="Pie de página Car"/>
    <w:basedOn w:val="Fuentedeprrafopredeter"/>
    <w:link w:val="Piedepgina"/>
    <w:uiPriority w:val="99"/>
    <w:rsid w:val="00DB2624"/>
    <w:rPr>
      <w:lang w:val="ca-ES"/>
    </w:rPr>
  </w:style>
  <w:style w:type="paragraph" w:styleId="Textodeglobo">
    <w:name w:val="Balloon Text"/>
    <w:basedOn w:val="Normal"/>
    <w:link w:val="TextodegloboCar"/>
    <w:uiPriority w:val="99"/>
    <w:semiHidden/>
    <w:unhideWhenUsed/>
    <w:rsid w:val="00DB2624"/>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624"/>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4092</Words>
  <Characters>22509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11</cp:revision>
  <dcterms:created xsi:type="dcterms:W3CDTF">2014-02-04T16:23:00Z</dcterms:created>
  <dcterms:modified xsi:type="dcterms:W3CDTF">2014-02-05T14:50:00Z</dcterms:modified>
</cp:coreProperties>
</file>