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BA" w:rsidRDefault="008E03BA" w:rsidP="008E03BA">
      <w:pPr>
        <w:pBdr>
          <w:bottom w:val="single" w:sz="4" w:space="1" w:color="1F497D" w:themeColor="text2"/>
        </w:pBdr>
        <w:ind w:left="-142" w:right="-1" w:firstLine="0"/>
        <w:rPr>
          <w:rFonts w:ascii="Arial" w:hAnsi="Arial" w:cs="Arial"/>
          <w:b/>
          <w:color w:val="1F497D" w:themeColor="text2"/>
          <w:sz w:val="24"/>
          <w:szCs w:val="24"/>
          <w:lang w:val="es-ES"/>
        </w:rPr>
      </w:pPr>
      <w:r>
        <w:rPr>
          <w:rFonts w:ascii="Arial" w:hAnsi="Arial" w:cs="Arial"/>
          <w:b/>
          <w:color w:val="1F497D" w:themeColor="text2"/>
          <w:sz w:val="24"/>
          <w:szCs w:val="24"/>
          <w:lang w:val="es-ES"/>
        </w:rPr>
        <w:t>4.</w:t>
      </w:r>
      <w:r>
        <w:rPr>
          <w:rFonts w:ascii="Arial" w:hAnsi="Arial" w:cs="Arial"/>
          <w:b/>
          <w:color w:val="1F497D" w:themeColor="text2"/>
          <w:sz w:val="24"/>
          <w:szCs w:val="24"/>
          <w:lang w:val="es-ES"/>
        </w:rPr>
        <w:tab/>
      </w:r>
      <w:r>
        <w:rPr>
          <w:rFonts w:ascii="Arial" w:hAnsi="Arial" w:cs="Arial"/>
          <w:b/>
          <w:color w:val="1F497D" w:themeColor="text2"/>
          <w:lang w:val="es-ES"/>
        </w:rPr>
        <w:t>Auditoría voluntaria</w:t>
      </w:r>
    </w:p>
    <w:p w:rsidR="008E03BA" w:rsidRDefault="008E03BA" w:rsidP="008E03BA">
      <w:pPr>
        <w:ind w:left="0" w:right="-1" w:firstLine="0"/>
        <w:rPr>
          <w:rFonts w:ascii="Arial" w:hAnsi="Arial" w:cs="Arial"/>
          <w:b/>
          <w:color w:val="1F497D" w:themeColor="text2"/>
          <w:sz w:val="24"/>
          <w:szCs w:val="24"/>
          <w:lang w:val="es-ES"/>
        </w:rPr>
      </w:pPr>
    </w:p>
    <w:tbl>
      <w:tblPr>
        <w:tblStyle w:val="Listamedia1-nfasis6"/>
        <w:tblW w:w="8647"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775"/>
        <w:gridCol w:w="7260"/>
        <w:gridCol w:w="612"/>
      </w:tblGrid>
      <w:tr w:rsidR="008E03BA" w:rsidRPr="00C031C0" w:rsidTr="00FC33C5">
        <w:trPr>
          <w:cnfStyle w:val="000000100000"/>
        </w:trPr>
        <w:tc>
          <w:tcPr>
            <w:cnfStyle w:val="001000000000"/>
            <w:tcW w:w="775" w:type="dxa"/>
            <w:tcBorders>
              <w:top w:val="nil"/>
              <w:left w:val="nil"/>
              <w:bottom w:val="nil"/>
              <w:right w:val="nil"/>
            </w:tcBorders>
            <w:shd w:val="clear" w:color="auto" w:fill="DBE5F1" w:themeFill="accent1" w:themeFillTint="33"/>
          </w:tcPr>
          <w:p w:rsidR="008E03BA" w:rsidRPr="00B036D9" w:rsidRDefault="008E03BA" w:rsidP="00FC33C5">
            <w:pPr>
              <w:ind w:left="0" w:right="-1" w:firstLine="0"/>
              <w:jc w:val="left"/>
              <w:rPr>
                <w:rFonts w:ascii="Arial" w:hAnsi="Arial" w:cs="Arial"/>
                <w:color w:val="1F497D" w:themeColor="text2"/>
                <w:lang w:val="es-ES"/>
              </w:rPr>
            </w:pPr>
            <w:r w:rsidRPr="00B036D9">
              <w:rPr>
                <w:rFonts w:ascii="Arial" w:hAnsi="Arial" w:cs="Arial"/>
                <w:color w:val="1F497D" w:themeColor="text2"/>
                <w:lang w:val="es-ES"/>
              </w:rPr>
              <w:t>4.1</w:t>
            </w:r>
          </w:p>
        </w:tc>
        <w:tc>
          <w:tcPr>
            <w:tcW w:w="7260" w:type="dxa"/>
            <w:tcBorders>
              <w:top w:val="nil"/>
              <w:left w:val="nil"/>
              <w:bottom w:val="nil"/>
              <w:right w:val="nil"/>
            </w:tcBorders>
            <w:shd w:val="clear" w:color="auto" w:fill="DBE5F1" w:themeFill="accent1" w:themeFillTint="33"/>
          </w:tcPr>
          <w:p w:rsidR="008E03BA" w:rsidRPr="00B036D9" w:rsidRDefault="008E03BA" w:rsidP="00FC33C5">
            <w:pPr>
              <w:ind w:left="0" w:right="-1" w:firstLine="0"/>
              <w:jc w:val="left"/>
              <w:cnfStyle w:val="000000100000"/>
              <w:rPr>
                <w:rFonts w:ascii="Arial" w:hAnsi="Arial" w:cs="Arial"/>
                <w:color w:val="1F497D" w:themeColor="text2"/>
                <w:lang w:val="es-ES"/>
              </w:rPr>
            </w:pPr>
            <w:r w:rsidRPr="00B036D9">
              <w:rPr>
                <w:rFonts w:ascii="Arial" w:hAnsi="Arial" w:cs="Arial"/>
                <w:color w:val="1F497D" w:themeColor="text2"/>
                <w:lang w:val="es-ES"/>
              </w:rPr>
              <w:t>Obligación de depósito en el Registro Mercantil</w:t>
            </w:r>
          </w:p>
        </w:tc>
        <w:tc>
          <w:tcPr>
            <w:tcW w:w="612" w:type="dxa"/>
            <w:tcBorders>
              <w:top w:val="nil"/>
              <w:left w:val="nil"/>
              <w:bottom w:val="nil"/>
              <w:right w:val="nil"/>
            </w:tcBorders>
            <w:shd w:val="clear" w:color="auto" w:fill="DBE5F1" w:themeFill="accent1" w:themeFillTint="33"/>
          </w:tcPr>
          <w:p w:rsidR="008E03BA" w:rsidRPr="00C031C0" w:rsidRDefault="008E03BA" w:rsidP="00FC33C5">
            <w:pPr>
              <w:ind w:left="0" w:right="-1" w:firstLine="0"/>
              <w:jc w:val="center"/>
              <w:cnfStyle w:val="000000100000"/>
              <w:rPr>
                <w:rFonts w:ascii="Arial" w:hAnsi="Arial" w:cs="Arial"/>
                <w:color w:val="auto"/>
                <w:sz w:val="24"/>
                <w:szCs w:val="24"/>
                <w:lang w:val="es-ES"/>
              </w:rPr>
            </w:pPr>
          </w:p>
        </w:tc>
      </w:tr>
    </w:tbl>
    <w:p w:rsidR="008E03BA" w:rsidRDefault="008E03BA" w:rsidP="008E03BA">
      <w:pPr>
        <w:ind w:left="0" w:right="-1" w:firstLine="0"/>
        <w:rPr>
          <w:rFonts w:ascii="Arial" w:hAnsi="Arial" w:cs="Arial"/>
          <w:b/>
          <w:color w:val="1F497D" w:themeColor="text2"/>
          <w:sz w:val="24"/>
          <w:szCs w:val="24"/>
          <w:lang w:val="es-ES"/>
        </w:rPr>
      </w:pPr>
    </w:p>
    <w:p w:rsidR="008E03BA" w:rsidRPr="008078C7" w:rsidRDefault="008E03BA" w:rsidP="008E03BA">
      <w:pPr>
        <w:ind w:left="0" w:hanging="5"/>
        <w:rPr>
          <w:rFonts w:ascii="Arial" w:eastAsia="Calibri" w:hAnsi="Arial" w:cs="Arial"/>
          <w:lang w:val="es-ES"/>
        </w:rPr>
      </w:pPr>
      <w:r>
        <w:rPr>
          <w:rFonts w:ascii="Arial" w:hAnsi="Arial" w:cs="Arial"/>
          <w:lang w:val="es-ES"/>
        </w:rPr>
        <w:t xml:space="preserve">En relación </w:t>
      </w:r>
      <w:r w:rsidRPr="008078C7">
        <w:rPr>
          <w:rFonts w:ascii="Arial" w:eastAsia="Calibri" w:hAnsi="Arial" w:cs="Arial"/>
          <w:lang w:val="es-ES"/>
        </w:rPr>
        <w:t xml:space="preserve">a si una sociedad </w:t>
      </w:r>
      <w:r>
        <w:rPr>
          <w:rFonts w:ascii="Arial" w:eastAsia="Calibri" w:hAnsi="Arial" w:cs="Arial"/>
          <w:lang w:val="es-ES"/>
        </w:rPr>
        <w:t xml:space="preserve">no obligada a auditarse pero con nombramiento de auditor inscrito en el Registro Mercantil debe depositar las cuentas anuales junto con el informe de auditoría, </w:t>
      </w:r>
      <w:r>
        <w:rPr>
          <w:rFonts w:ascii="Arial" w:hAnsi="Arial" w:cs="Arial"/>
          <w:lang w:val="es-ES"/>
        </w:rPr>
        <w:t>las R</w:t>
      </w:r>
      <w:r w:rsidRPr="008078C7">
        <w:rPr>
          <w:rFonts w:ascii="Arial" w:hAnsi="Arial" w:cs="Arial"/>
          <w:lang w:val="es-ES"/>
        </w:rPr>
        <w:t>esoluciones de la DGRN sobre depósitos de cuentas de 15 de noviembre de 2011 (</w:t>
      </w:r>
      <w:r w:rsidRPr="000C1784">
        <w:rPr>
          <w:rFonts w:ascii="Arial" w:hAnsi="Arial" w:cs="Arial"/>
          <w:lang w:val="es-ES"/>
        </w:rPr>
        <w:t>BOE de 9</w:t>
      </w:r>
      <w:r>
        <w:rPr>
          <w:rFonts w:ascii="Arial" w:hAnsi="Arial" w:cs="Arial"/>
          <w:lang w:val="es-ES"/>
        </w:rPr>
        <w:t xml:space="preserve"> </w:t>
      </w:r>
      <w:r w:rsidRPr="000C1784">
        <w:rPr>
          <w:rFonts w:ascii="Arial" w:hAnsi="Arial" w:cs="Arial"/>
          <w:lang w:val="es-ES"/>
        </w:rPr>
        <w:t>de</w:t>
      </w:r>
      <w:r w:rsidRPr="008078C7">
        <w:rPr>
          <w:rFonts w:ascii="Arial" w:hAnsi="Arial" w:cs="Arial"/>
          <w:lang w:val="es-ES"/>
        </w:rPr>
        <w:t xml:space="preserve"> febrero de 2012), 8 de febrero de 2008 (BOE de 1 de marzo de 2008) y de 10 de julio de 2007 (BOE de 5 de octubre de 2007) </w:t>
      </w:r>
      <w:r w:rsidRPr="008078C7">
        <w:rPr>
          <w:rFonts w:ascii="Arial" w:eastAsia="Calibri" w:hAnsi="Arial" w:cs="Arial"/>
          <w:lang w:val="es-ES"/>
        </w:rPr>
        <w:t>se ha</w:t>
      </w:r>
      <w:r>
        <w:rPr>
          <w:rFonts w:ascii="Arial" w:eastAsia="Calibri" w:hAnsi="Arial" w:cs="Arial"/>
          <w:lang w:val="es-ES"/>
        </w:rPr>
        <w:t>n</w:t>
      </w:r>
      <w:r w:rsidRPr="008078C7">
        <w:rPr>
          <w:rFonts w:ascii="Arial" w:eastAsia="Calibri" w:hAnsi="Arial" w:cs="Arial"/>
          <w:lang w:val="es-ES"/>
        </w:rPr>
        <w:t xml:space="preserve"> pronunciado de manera  expresa indicando que si no está obligada a </w:t>
      </w:r>
      <w:r>
        <w:rPr>
          <w:rFonts w:ascii="Arial" w:eastAsia="Calibri" w:hAnsi="Arial" w:cs="Arial"/>
          <w:lang w:val="es-ES"/>
        </w:rPr>
        <w:t>auditarse, por no haberlo solicitado un socio minoritario o</w:t>
      </w:r>
      <w:r w:rsidRPr="008078C7">
        <w:rPr>
          <w:rFonts w:ascii="Arial" w:eastAsia="Calibri" w:hAnsi="Arial" w:cs="Arial"/>
          <w:lang w:val="es-ES"/>
        </w:rPr>
        <w:t xml:space="preserve"> por poder presentar balance abreviado, aunque tenga inscrito un auditor con carácter voluntario, no está obligada al depósito del informe de auditoría. </w:t>
      </w:r>
      <w:r>
        <w:rPr>
          <w:rFonts w:ascii="Arial" w:eastAsia="Calibri" w:hAnsi="Arial" w:cs="Arial"/>
          <w:lang w:val="es-ES"/>
        </w:rPr>
        <w:t>Es importante que</w:t>
      </w:r>
      <w:r w:rsidRPr="008078C7">
        <w:rPr>
          <w:rFonts w:ascii="Arial" w:eastAsia="Calibri" w:hAnsi="Arial" w:cs="Arial"/>
          <w:lang w:val="es-ES"/>
        </w:rPr>
        <w:t xml:space="preserve"> en estos supuestos </w:t>
      </w:r>
      <w:r>
        <w:rPr>
          <w:rFonts w:ascii="Arial" w:eastAsia="Calibri" w:hAnsi="Arial" w:cs="Arial"/>
          <w:lang w:val="es-ES"/>
        </w:rPr>
        <w:t xml:space="preserve">conste en </w:t>
      </w:r>
      <w:r w:rsidRPr="008078C7">
        <w:rPr>
          <w:rFonts w:ascii="Arial" w:eastAsia="Calibri" w:hAnsi="Arial" w:cs="Arial"/>
          <w:lang w:val="es-ES"/>
        </w:rPr>
        <w:t xml:space="preserve">la certificación de la Junta General, aprobatoria de las cuentas anuales que la sociedad puede formular balance abreviado y que no está obligada a someter sus cuentas al informe de auditoría. </w:t>
      </w:r>
    </w:p>
    <w:p w:rsidR="008E03BA" w:rsidRPr="008078C7" w:rsidRDefault="008E03BA" w:rsidP="008E03BA">
      <w:pPr>
        <w:ind w:left="0" w:hanging="5"/>
        <w:rPr>
          <w:rFonts w:ascii="Arial" w:hAnsi="Arial" w:cs="Arial"/>
          <w:lang w:val="es-ES"/>
        </w:rPr>
      </w:pPr>
    </w:p>
    <w:p w:rsidR="008E03BA" w:rsidRDefault="008E03BA" w:rsidP="008E03BA">
      <w:pPr>
        <w:ind w:left="0" w:firstLine="0"/>
        <w:rPr>
          <w:rFonts w:ascii="Arial" w:hAnsi="Arial" w:cs="Arial"/>
          <w:lang w:val="es-ES"/>
        </w:rPr>
      </w:pPr>
      <w:r>
        <w:rPr>
          <w:rFonts w:ascii="Arial" w:hAnsi="Arial" w:cs="Arial"/>
          <w:lang w:val="es-ES"/>
        </w:rPr>
        <w:t>Si bien existen resoluciones contrarias a las mencionadas en el párrafo anterior como por ejemplo la de 16 de enero de 2006 (publicada en el BOE de 24 de febrero de 2006), las últimas resoluciones se pronuncian en el sentido indicado en el primer párrafo.</w:t>
      </w:r>
    </w:p>
    <w:p w:rsidR="008E03BA" w:rsidRDefault="008E03BA" w:rsidP="008E03BA">
      <w:pPr>
        <w:ind w:left="0" w:firstLine="0"/>
        <w:rPr>
          <w:rFonts w:ascii="Arial" w:hAnsi="Arial" w:cs="Arial"/>
          <w:lang w:val="es-ES"/>
        </w:rPr>
      </w:pPr>
    </w:p>
    <w:p w:rsidR="008E03BA" w:rsidRPr="003F1A82" w:rsidRDefault="008E03BA" w:rsidP="008E03BA">
      <w:pPr>
        <w:ind w:left="0" w:firstLine="0"/>
        <w:rPr>
          <w:rFonts w:ascii="Arial" w:hAnsi="Arial" w:cs="Arial"/>
          <w:lang w:val="es-ES"/>
        </w:rPr>
      </w:pPr>
    </w:p>
    <w:tbl>
      <w:tblPr>
        <w:tblStyle w:val="Listamedia1-nfasis6"/>
        <w:tblW w:w="8647" w:type="dxa"/>
        <w:tblInd w:w="-34"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775"/>
        <w:gridCol w:w="7260"/>
        <w:gridCol w:w="612"/>
      </w:tblGrid>
      <w:tr w:rsidR="008E03BA" w:rsidRPr="00C031C0" w:rsidTr="00FC33C5">
        <w:trPr>
          <w:cnfStyle w:val="000000100000"/>
        </w:trPr>
        <w:tc>
          <w:tcPr>
            <w:cnfStyle w:val="001000000000"/>
            <w:tcW w:w="775" w:type="dxa"/>
            <w:tcBorders>
              <w:top w:val="nil"/>
              <w:left w:val="nil"/>
              <w:bottom w:val="nil"/>
              <w:right w:val="nil"/>
            </w:tcBorders>
            <w:shd w:val="clear" w:color="auto" w:fill="DBE5F1" w:themeFill="accent1" w:themeFillTint="33"/>
          </w:tcPr>
          <w:p w:rsidR="008E03BA" w:rsidRPr="00B036D9" w:rsidRDefault="008E03BA" w:rsidP="00FC33C5">
            <w:pPr>
              <w:ind w:left="0" w:right="-1" w:firstLine="0"/>
              <w:jc w:val="left"/>
              <w:rPr>
                <w:rFonts w:ascii="Arial" w:hAnsi="Arial" w:cs="Arial"/>
                <w:color w:val="1F497D" w:themeColor="text2"/>
                <w:lang w:val="es-ES"/>
              </w:rPr>
            </w:pPr>
            <w:r w:rsidRPr="00B036D9">
              <w:rPr>
                <w:rFonts w:ascii="Arial" w:hAnsi="Arial" w:cs="Arial"/>
                <w:color w:val="1F497D" w:themeColor="text2"/>
                <w:lang w:val="es-ES"/>
              </w:rPr>
              <w:t>4.</w:t>
            </w:r>
            <w:r>
              <w:rPr>
                <w:rFonts w:ascii="Arial" w:hAnsi="Arial" w:cs="Arial"/>
                <w:color w:val="1F497D" w:themeColor="text2"/>
                <w:lang w:val="es-ES"/>
              </w:rPr>
              <w:t>2</w:t>
            </w:r>
          </w:p>
        </w:tc>
        <w:tc>
          <w:tcPr>
            <w:tcW w:w="7260" w:type="dxa"/>
            <w:tcBorders>
              <w:top w:val="nil"/>
              <w:left w:val="nil"/>
              <w:bottom w:val="nil"/>
              <w:right w:val="nil"/>
            </w:tcBorders>
            <w:shd w:val="clear" w:color="auto" w:fill="DBE5F1" w:themeFill="accent1" w:themeFillTint="33"/>
          </w:tcPr>
          <w:p w:rsidR="008E03BA" w:rsidRPr="00B036D9" w:rsidRDefault="008E03BA"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Información a remitir al ICAC</w:t>
            </w:r>
          </w:p>
        </w:tc>
        <w:tc>
          <w:tcPr>
            <w:tcW w:w="612" w:type="dxa"/>
            <w:tcBorders>
              <w:top w:val="nil"/>
              <w:left w:val="nil"/>
              <w:bottom w:val="nil"/>
              <w:right w:val="nil"/>
            </w:tcBorders>
            <w:shd w:val="clear" w:color="auto" w:fill="DBE5F1" w:themeFill="accent1" w:themeFillTint="33"/>
          </w:tcPr>
          <w:p w:rsidR="008E03BA" w:rsidRPr="00C031C0" w:rsidRDefault="008E03BA" w:rsidP="00FC33C5">
            <w:pPr>
              <w:ind w:left="0" w:right="-1" w:firstLine="0"/>
              <w:jc w:val="center"/>
              <w:cnfStyle w:val="000000100000"/>
              <w:rPr>
                <w:rFonts w:ascii="Arial" w:hAnsi="Arial" w:cs="Arial"/>
                <w:color w:val="auto"/>
                <w:sz w:val="24"/>
                <w:szCs w:val="24"/>
                <w:lang w:val="es-ES"/>
              </w:rPr>
            </w:pPr>
          </w:p>
        </w:tc>
      </w:tr>
    </w:tbl>
    <w:p w:rsidR="008E03BA" w:rsidRDefault="008E03BA" w:rsidP="008E03BA">
      <w:pPr>
        <w:ind w:left="0" w:firstLine="0"/>
        <w:jc w:val="left"/>
      </w:pPr>
    </w:p>
    <w:p w:rsidR="008E03BA" w:rsidRPr="00BF2EDD" w:rsidRDefault="008E03BA" w:rsidP="008E03BA">
      <w:pPr>
        <w:ind w:left="0" w:firstLine="0"/>
        <w:rPr>
          <w:rFonts w:ascii="Arial" w:hAnsi="Arial" w:cs="Arial"/>
          <w:lang w:val="es-ES"/>
        </w:rPr>
      </w:pPr>
      <w:r w:rsidRPr="00BF2EDD">
        <w:rPr>
          <w:rFonts w:ascii="Arial" w:hAnsi="Arial" w:cs="Arial"/>
          <w:lang w:val="es-ES"/>
        </w:rPr>
        <w:t>El artículo 79 del RTRLAC obliga a remitir al ICAC en el mes de octubre de cada año, y en relación</w:t>
      </w:r>
      <w:r>
        <w:rPr>
          <w:rFonts w:ascii="Arial" w:hAnsi="Arial" w:cs="Arial"/>
          <w:lang w:val="es-ES"/>
        </w:rPr>
        <w:t xml:space="preserve"> con los doce meses anteriores,</w:t>
      </w:r>
      <w:r w:rsidRPr="00BF2EDD">
        <w:rPr>
          <w:rFonts w:ascii="Arial" w:hAnsi="Arial" w:cs="Arial"/>
          <w:lang w:val="es-ES"/>
        </w:rPr>
        <w:t xml:space="preserve"> diversa información entre la que se incluye la “relación de las entidades auditadas, el plazo de contratación, la fecha de emisión del informe, el auditor de cuentas firmante, el tipo de opinión, las horas  y </w:t>
      </w:r>
      <w:r>
        <w:rPr>
          <w:rFonts w:ascii="Arial" w:hAnsi="Arial" w:cs="Arial"/>
          <w:lang w:val="es-ES"/>
        </w:rPr>
        <w:t xml:space="preserve">los </w:t>
      </w:r>
      <w:r w:rsidRPr="00BF2EDD">
        <w:rPr>
          <w:rFonts w:ascii="Arial" w:hAnsi="Arial" w:cs="Arial"/>
          <w:lang w:val="es-ES"/>
        </w:rPr>
        <w:t>honorarios facturados”</w:t>
      </w:r>
      <w:r>
        <w:rPr>
          <w:rFonts w:ascii="Arial" w:hAnsi="Arial" w:cs="Arial"/>
          <w:lang w:val="es-ES"/>
        </w:rPr>
        <w:t>, no distinguiendo entre auditorías obligatorios o voluntarias, por lo que estas últimas también deben incluirse.</w:t>
      </w:r>
    </w:p>
    <w:p w:rsidR="00815E91" w:rsidRPr="008E03BA" w:rsidRDefault="00815E91">
      <w:pPr>
        <w:rPr>
          <w:lang w:val="es-ES"/>
        </w:rPr>
      </w:pPr>
    </w:p>
    <w:sectPr w:rsidR="00815E91" w:rsidRPr="008E03BA" w:rsidSect="0066463C">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83" w:rsidRDefault="004A6583" w:rsidP="0066463C">
      <w:r>
        <w:separator/>
      </w:r>
    </w:p>
  </w:endnote>
  <w:endnote w:type="continuationSeparator" w:id="0">
    <w:p w:rsidR="004A6583" w:rsidRDefault="004A6583" w:rsidP="006646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3C" w:rsidRDefault="0066463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3C" w:rsidRDefault="0066463C" w:rsidP="0066463C">
    <w:pPr>
      <w:pStyle w:val="Piedepgina"/>
      <w:jc w:val="right"/>
    </w:pPr>
    <w:proofErr w:type="spellStart"/>
    <w:r>
      <w:t>junio</w:t>
    </w:r>
    <w:proofErr w:type="spellEnd"/>
    <w:r>
      <w:t xml:space="preserve"> 2013</w:t>
    </w:r>
  </w:p>
  <w:p w:rsidR="0066463C" w:rsidRDefault="0066463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3C" w:rsidRDefault="0066463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83" w:rsidRDefault="004A6583" w:rsidP="0066463C">
      <w:r>
        <w:separator/>
      </w:r>
    </w:p>
  </w:footnote>
  <w:footnote w:type="continuationSeparator" w:id="0">
    <w:p w:rsidR="004A6583" w:rsidRDefault="004A6583" w:rsidP="00664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3C" w:rsidRDefault="0066463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3C" w:rsidRDefault="0066463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63C" w:rsidRDefault="0066463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8E03BA"/>
    <w:rsid w:val="004A6583"/>
    <w:rsid w:val="0066463C"/>
    <w:rsid w:val="00815E91"/>
    <w:rsid w:val="0083309E"/>
    <w:rsid w:val="008E03BA"/>
    <w:rsid w:val="00B3206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BA"/>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media1-nfasis6">
    <w:name w:val="Medium List 1 Accent 6"/>
    <w:basedOn w:val="Tablanormal"/>
    <w:uiPriority w:val="65"/>
    <w:rsid w:val="008E03BA"/>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Encabezado">
    <w:name w:val="header"/>
    <w:basedOn w:val="Normal"/>
    <w:link w:val="EncabezadoCar"/>
    <w:uiPriority w:val="99"/>
    <w:semiHidden/>
    <w:unhideWhenUsed/>
    <w:rsid w:val="0066463C"/>
    <w:pPr>
      <w:tabs>
        <w:tab w:val="center" w:pos="4252"/>
        <w:tab w:val="right" w:pos="8504"/>
      </w:tabs>
    </w:pPr>
  </w:style>
  <w:style w:type="character" w:customStyle="1" w:styleId="EncabezadoCar">
    <w:name w:val="Encabezado Car"/>
    <w:basedOn w:val="Fuentedeprrafopredeter"/>
    <w:link w:val="Encabezado"/>
    <w:uiPriority w:val="99"/>
    <w:semiHidden/>
    <w:rsid w:val="0066463C"/>
    <w:rPr>
      <w:lang w:val="ca-ES"/>
    </w:rPr>
  </w:style>
  <w:style w:type="paragraph" w:styleId="Piedepgina">
    <w:name w:val="footer"/>
    <w:basedOn w:val="Normal"/>
    <w:link w:val="PiedepginaCar"/>
    <w:uiPriority w:val="99"/>
    <w:unhideWhenUsed/>
    <w:rsid w:val="0066463C"/>
    <w:pPr>
      <w:tabs>
        <w:tab w:val="center" w:pos="4252"/>
        <w:tab w:val="right" w:pos="8504"/>
      </w:tabs>
    </w:pPr>
  </w:style>
  <w:style w:type="character" w:customStyle="1" w:styleId="PiedepginaCar">
    <w:name w:val="Pie de página Car"/>
    <w:basedOn w:val="Fuentedeprrafopredeter"/>
    <w:link w:val="Piedepgina"/>
    <w:uiPriority w:val="99"/>
    <w:rsid w:val="0066463C"/>
    <w:rPr>
      <w:lang w:val="ca-ES"/>
    </w:rPr>
  </w:style>
  <w:style w:type="paragraph" w:styleId="Textodeglobo">
    <w:name w:val="Balloon Text"/>
    <w:basedOn w:val="Normal"/>
    <w:link w:val="TextodegloboCar"/>
    <w:uiPriority w:val="99"/>
    <w:semiHidden/>
    <w:unhideWhenUsed/>
    <w:rsid w:val="0066463C"/>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63C"/>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1515</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2</cp:revision>
  <dcterms:created xsi:type="dcterms:W3CDTF">2014-02-04T16:23:00Z</dcterms:created>
  <dcterms:modified xsi:type="dcterms:W3CDTF">2014-02-05T09:53:00Z</dcterms:modified>
</cp:coreProperties>
</file>