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617" w:rsidRDefault="005D7617" w:rsidP="00917E7A">
      <w:pPr>
        <w:pStyle w:val="NormalWeb"/>
        <w:pBdr>
          <w:bottom w:val="single" w:sz="4" w:space="1" w:color="1F497D" w:themeColor="text2"/>
        </w:pBdr>
        <w:rPr>
          <w:rFonts w:ascii="Arial" w:hAnsi="Arial" w:cs="Arial"/>
          <w:b/>
          <w:color w:val="1F497D" w:themeColor="text2"/>
        </w:rPr>
      </w:pPr>
    </w:p>
    <w:p w:rsidR="00917E7A" w:rsidRPr="00027A56" w:rsidRDefault="00917E7A" w:rsidP="00917E7A">
      <w:pPr>
        <w:pStyle w:val="NormalWeb"/>
        <w:pBdr>
          <w:bottom w:val="single" w:sz="4" w:space="1" w:color="1F497D" w:themeColor="text2"/>
        </w:pBdr>
      </w:pPr>
      <w:r w:rsidRPr="00C8234B">
        <w:rPr>
          <w:rFonts w:ascii="Arial" w:hAnsi="Arial" w:cs="Arial"/>
          <w:b/>
          <w:color w:val="1F497D" w:themeColor="text2"/>
        </w:rPr>
        <w:t>9.</w:t>
      </w:r>
      <w:r w:rsidRPr="00C8234B">
        <w:rPr>
          <w:rFonts w:ascii="Arial" w:hAnsi="Arial" w:cs="Arial"/>
          <w:b/>
          <w:color w:val="1F497D" w:themeColor="text2"/>
        </w:rPr>
        <w:tab/>
        <w:t>Obligaciones formales del auditor de cuentas</w:t>
      </w:r>
    </w:p>
    <w:tbl>
      <w:tblPr>
        <w:tblStyle w:val="Listamedia1-nfasis6"/>
        <w:tblW w:w="8553" w:type="dxa"/>
        <w:tblInd w:w="-34"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blBorders>
        <w:tblLook w:val="0480"/>
      </w:tblPr>
      <w:tblGrid>
        <w:gridCol w:w="873"/>
        <w:gridCol w:w="7680"/>
      </w:tblGrid>
      <w:tr w:rsidR="00917E7A" w:rsidRPr="00401271" w:rsidTr="00490C05">
        <w:trPr>
          <w:cnfStyle w:val="000000100000"/>
        </w:trPr>
        <w:tc>
          <w:tcPr>
            <w:cnfStyle w:val="001000000000"/>
            <w:tcW w:w="873" w:type="dxa"/>
            <w:tcBorders>
              <w:top w:val="nil"/>
              <w:left w:val="nil"/>
              <w:bottom w:val="nil"/>
              <w:right w:val="nil"/>
            </w:tcBorders>
            <w:shd w:val="clear" w:color="auto" w:fill="DBE5F1" w:themeFill="accent1" w:themeFillTint="33"/>
          </w:tcPr>
          <w:p w:rsidR="00917E7A" w:rsidRPr="00401271" w:rsidRDefault="00917E7A" w:rsidP="00490C05">
            <w:pPr>
              <w:ind w:left="0" w:right="-1" w:firstLine="0"/>
              <w:jc w:val="left"/>
              <w:rPr>
                <w:rFonts w:ascii="Arial" w:hAnsi="Arial" w:cs="Arial"/>
                <w:color w:val="1F497D" w:themeColor="text2"/>
                <w:lang w:val="es-ES"/>
              </w:rPr>
            </w:pPr>
            <w:r>
              <w:rPr>
                <w:rFonts w:ascii="Arial" w:hAnsi="Arial" w:cs="Arial"/>
                <w:color w:val="1F497D" w:themeColor="text2"/>
                <w:lang w:val="es-ES"/>
              </w:rPr>
              <w:t>9.1</w:t>
            </w:r>
          </w:p>
        </w:tc>
        <w:tc>
          <w:tcPr>
            <w:tcW w:w="7680" w:type="dxa"/>
            <w:tcBorders>
              <w:top w:val="nil"/>
              <w:left w:val="nil"/>
              <w:bottom w:val="nil"/>
              <w:right w:val="nil"/>
            </w:tcBorders>
            <w:shd w:val="clear" w:color="auto" w:fill="DBE5F1" w:themeFill="accent1" w:themeFillTint="33"/>
          </w:tcPr>
          <w:p w:rsidR="00917E7A" w:rsidRPr="00401271" w:rsidRDefault="00917E7A" w:rsidP="00490C05">
            <w:pPr>
              <w:ind w:left="0" w:right="-1" w:firstLine="0"/>
              <w:jc w:val="left"/>
              <w:cnfStyle w:val="000000100000"/>
              <w:rPr>
                <w:rFonts w:ascii="Arial" w:hAnsi="Arial" w:cs="Arial"/>
                <w:color w:val="1F497D" w:themeColor="text2"/>
                <w:lang w:val="es-ES"/>
              </w:rPr>
            </w:pPr>
            <w:r>
              <w:rPr>
                <w:rFonts w:ascii="Arial" w:hAnsi="Arial" w:cs="Arial"/>
                <w:color w:val="1F497D" w:themeColor="text2"/>
                <w:lang w:val="es-ES"/>
              </w:rPr>
              <w:t>Tasa</w:t>
            </w:r>
          </w:p>
        </w:tc>
      </w:tr>
    </w:tbl>
    <w:p w:rsidR="00917E7A" w:rsidRDefault="00917E7A" w:rsidP="00917E7A">
      <w:pPr>
        <w:ind w:left="0" w:firstLine="0"/>
        <w:jc w:val="left"/>
        <w:rPr>
          <w:lang w:val="es-ES"/>
        </w:rPr>
      </w:pPr>
    </w:p>
    <w:p w:rsidR="00917E7A" w:rsidRDefault="00917E7A" w:rsidP="00917E7A">
      <w:pPr>
        <w:ind w:left="0" w:firstLine="0"/>
        <w:rPr>
          <w:rFonts w:ascii="Arial" w:hAnsi="Arial" w:cs="Arial"/>
          <w:lang w:val="es-ES"/>
        </w:rPr>
      </w:pPr>
      <w:r>
        <w:rPr>
          <w:rFonts w:ascii="Arial" w:hAnsi="Arial" w:cs="Arial"/>
          <w:lang w:val="es-ES"/>
        </w:rPr>
        <w:t>Tal como detalla el artículo 44 del TRLAC, l</w:t>
      </w:r>
      <w:r w:rsidRPr="00FF3C50">
        <w:rPr>
          <w:rFonts w:ascii="Arial" w:hAnsi="Arial" w:cs="Arial"/>
          <w:lang w:val="es-ES"/>
        </w:rPr>
        <w:t xml:space="preserve">a tasa por emisión de informes de auditoría de cuentas se rige por el TRLAC y por las fuentes </w:t>
      </w:r>
      <w:r>
        <w:rPr>
          <w:rFonts w:ascii="Arial" w:hAnsi="Arial" w:cs="Arial"/>
          <w:lang w:val="es-ES"/>
        </w:rPr>
        <w:t>nor</w:t>
      </w:r>
      <w:r w:rsidRPr="00FF3C50">
        <w:rPr>
          <w:rFonts w:ascii="Arial" w:hAnsi="Arial" w:cs="Arial"/>
          <w:lang w:val="es-ES"/>
        </w:rPr>
        <w:t>mativas del artículo 9 de la Ley 8/1989, de 13 de abril, de Tasas y Precios  Públicos</w:t>
      </w:r>
      <w:r>
        <w:rPr>
          <w:rFonts w:ascii="Arial" w:hAnsi="Arial" w:cs="Arial"/>
          <w:lang w:val="es-ES"/>
        </w:rPr>
        <w:t xml:space="preserve">. En dicho artículo 9 se indica que las tasas se rigen por: </w:t>
      </w:r>
    </w:p>
    <w:p w:rsidR="00917E7A" w:rsidRDefault="00917E7A" w:rsidP="00917E7A">
      <w:pPr>
        <w:ind w:left="0" w:firstLine="0"/>
        <w:rPr>
          <w:rFonts w:ascii="Arial" w:hAnsi="Arial" w:cs="Arial"/>
          <w:lang w:val="es-ES"/>
        </w:rPr>
      </w:pPr>
    </w:p>
    <w:p w:rsidR="00917E7A" w:rsidRPr="0068373A" w:rsidRDefault="00917E7A" w:rsidP="00917E7A">
      <w:pPr>
        <w:pStyle w:val="Prrafodelista"/>
        <w:numPr>
          <w:ilvl w:val="0"/>
          <w:numId w:val="1"/>
        </w:numPr>
        <w:ind w:right="566"/>
        <w:rPr>
          <w:rFonts w:ascii="Arial" w:hAnsi="Arial" w:cs="Arial"/>
          <w:sz w:val="20"/>
          <w:szCs w:val="20"/>
          <w:lang w:val="es-ES"/>
        </w:rPr>
      </w:pPr>
      <w:r>
        <w:rPr>
          <w:rFonts w:ascii="Arial" w:hAnsi="Arial" w:cs="Arial"/>
          <w:sz w:val="20"/>
          <w:szCs w:val="20"/>
          <w:lang w:val="es-ES"/>
        </w:rPr>
        <w:t>L</w:t>
      </w:r>
      <w:r w:rsidRPr="0068373A">
        <w:rPr>
          <w:rFonts w:ascii="Arial" w:hAnsi="Arial" w:cs="Arial"/>
          <w:sz w:val="20"/>
          <w:szCs w:val="20"/>
          <w:lang w:val="es-ES"/>
        </w:rPr>
        <w:t>os Tratados o convenios internacionales que contengan cláusulas en materia de tasas, publicados oficialmente en España</w:t>
      </w:r>
      <w:r>
        <w:rPr>
          <w:rFonts w:ascii="Arial" w:hAnsi="Arial" w:cs="Arial"/>
          <w:sz w:val="20"/>
          <w:szCs w:val="20"/>
          <w:lang w:val="es-ES"/>
        </w:rPr>
        <w:t>.</w:t>
      </w:r>
      <w:r w:rsidRPr="0068373A">
        <w:rPr>
          <w:rFonts w:ascii="Arial" w:hAnsi="Arial" w:cs="Arial"/>
          <w:sz w:val="20"/>
          <w:szCs w:val="20"/>
          <w:lang w:val="es-ES"/>
        </w:rPr>
        <w:t xml:space="preserve"> </w:t>
      </w:r>
    </w:p>
    <w:p w:rsidR="00917E7A" w:rsidRPr="0068373A" w:rsidRDefault="00917E7A" w:rsidP="00917E7A">
      <w:pPr>
        <w:pStyle w:val="Prrafodelista"/>
        <w:numPr>
          <w:ilvl w:val="0"/>
          <w:numId w:val="1"/>
        </w:numPr>
        <w:ind w:right="566"/>
        <w:rPr>
          <w:rFonts w:ascii="Arial" w:hAnsi="Arial" w:cs="Arial"/>
          <w:lang w:val="es-ES"/>
        </w:rPr>
      </w:pPr>
      <w:r>
        <w:rPr>
          <w:rFonts w:ascii="Arial" w:hAnsi="Arial" w:cs="Arial"/>
          <w:sz w:val="20"/>
          <w:szCs w:val="20"/>
          <w:lang w:val="es-ES"/>
        </w:rPr>
        <w:t>P</w:t>
      </w:r>
      <w:r w:rsidRPr="0068373A">
        <w:rPr>
          <w:rFonts w:ascii="Arial" w:hAnsi="Arial" w:cs="Arial"/>
          <w:sz w:val="20"/>
          <w:szCs w:val="20"/>
          <w:lang w:val="es-ES"/>
        </w:rPr>
        <w:t>or la propia Ley 8/1989, por la Ley General Tributaria y la Ley General Presupuestaria, en cuanto no preceptúen lo contrario.</w:t>
      </w:r>
    </w:p>
    <w:p w:rsidR="00917E7A" w:rsidRPr="0068373A" w:rsidRDefault="00917E7A" w:rsidP="00917E7A">
      <w:pPr>
        <w:pStyle w:val="NormalWeb"/>
        <w:numPr>
          <w:ilvl w:val="0"/>
          <w:numId w:val="1"/>
        </w:numPr>
        <w:spacing w:before="0" w:beforeAutospacing="0" w:after="0" w:afterAutospacing="0"/>
        <w:ind w:right="566"/>
        <w:jc w:val="both"/>
        <w:rPr>
          <w:rFonts w:ascii="Arial" w:hAnsi="Arial" w:cs="Arial"/>
          <w:sz w:val="20"/>
          <w:szCs w:val="20"/>
        </w:rPr>
      </w:pPr>
      <w:r w:rsidRPr="0068373A">
        <w:rPr>
          <w:rFonts w:ascii="Arial" w:hAnsi="Arial" w:cs="Arial"/>
          <w:sz w:val="20"/>
          <w:szCs w:val="20"/>
        </w:rPr>
        <w:t>En su caso, por la Ley propia de cada tasa.</w:t>
      </w:r>
    </w:p>
    <w:p w:rsidR="00917E7A" w:rsidRPr="0068373A" w:rsidRDefault="00917E7A" w:rsidP="00917E7A">
      <w:pPr>
        <w:pStyle w:val="NormalWeb"/>
        <w:numPr>
          <w:ilvl w:val="0"/>
          <w:numId w:val="1"/>
        </w:numPr>
        <w:spacing w:before="0" w:beforeAutospacing="0" w:after="0" w:afterAutospacing="0"/>
        <w:ind w:right="566"/>
        <w:jc w:val="both"/>
        <w:rPr>
          <w:rFonts w:ascii="Arial" w:hAnsi="Arial" w:cs="Arial"/>
          <w:sz w:val="20"/>
          <w:szCs w:val="20"/>
        </w:rPr>
      </w:pPr>
      <w:r w:rsidRPr="0068373A">
        <w:rPr>
          <w:rFonts w:ascii="Arial" w:hAnsi="Arial" w:cs="Arial"/>
          <w:sz w:val="20"/>
          <w:szCs w:val="20"/>
        </w:rPr>
        <w:t>Por las normas reglamentarias dictadas en desarrollo de estas leyes.</w:t>
      </w:r>
    </w:p>
    <w:p w:rsidR="00917E7A" w:rsidRDefault="00917E7A" w:rsidP="00917E7A">
      <w:pPr>
        <w:ind w:left="0" w:firstLine="0"/>
        <w:rPr>
          <w:lang w:val="es-ES"/>
        </w:rPr>
      </w:pPr>
    </w:p>
    <w:p w:rsidR="00917E7A" w:rsidRPr="0068373A" w:rsidRDefault="00917E7A" w:rsidP="00917E7A">
      <w:pPr>
        <w:ind w:left="0" w:firstLine="0"/>
        <w:rPr>
          <w:rFonts w:ascii="Arial" w:hAnsi="Arial" w:cs="Arial"/>
          <w:lang w:val="es-ES"/>
        </w:rPr>
      </w:pPr>
      <w:r w:rsidRPr="0068373A">
        <w:rPr>
          <w:rFonts w:ascii="Arial" w:hAnsi="Arial" w:cs="Arial"/>
          <w:lang w:val="es-ES"/>
        </w:rPr>
        <w:t xml:space="preserve">El hecho imponible lo constituye el ejercicio de las competencias del ICAC en </w:t>
      </w:r>
      <w:r>
        <w:rPr>
          <w:rFonts w:ascii="Arial" w:hAnsi="Arial" w:cs="Arial"/>
          <w:lang w:val="es-ES"/>
        </w:rPr>
        <w:t xml:space="preserve">lo que se refiere </w:t>
      </w:r>
      <w:r w:rsidRPr="0068373A">
        <w:rPr>
          <w:rFonts w:ascii="Arial" w:hAnsi="Arial" w:cs="Arial"/>
          <w:lang w:val="es-ES"/>
        </w:rPr>
        <w:t xml:space="preserve">al “control de la actividad de auditoría de cuentas, </w:t>
      </w:r>
      <w:r w:rsidRPr="00781F38">
        <w:rPr>
          <w:rFonts w:ascii="Arial" w:hAnsi="Arial" w:cs="Arial"/>
          <w:lang w:val="es-ES"/>
        </w:rPr>
        <w:t>el ejercicio de la potestad  disciplinaria de los auditores de cuentas y sociedades de auditoría de cuentas, y la cooperación internacional en el ámbito de la actividad de auditoría de cuentas”,</w:t>
      </w:r>
      <w:r>
        <w:rPr>
          <w:rFonts w:ascii="Arial" w:hAnsi="Arial" w:cs="Arial"/>
          <w:lang w:val="es-ES"/>
        </w:rPr>
        <w:t xml:space="preserve"> en relación con  la emisión de informes de auditoría de cuentas. Por tanto los sujetos pasivos de la tasa son los auditores de cuentas y sociedades de auditoría inscritos como ejercientes en el ROAC que emitan informes de auditoría de cuentas y los ingresos derivados de la tasa tiene la consideración de ingresos presupuestarios del ICAC destinándose, por tanto, a financiar “las partidas que correspondan a los gastos previstos para las funciones de control y disciplina</w:t>
      </w:r>
      <w:bookmarkStart w:id="0" w:name="_GoBack"/>
      <w:bookmarkEnd w:id="0"/>
      <w:r>
        <w:rPr>
          <w:rFonts w:ascii="Arial" w:hAnsi="Arial" w:cs="Arial"/>
          <w:lang w:val="es-ES"/>
        </w:rPr>
        <w:t xml:space="preserve"> de la actividad de auditoría de cuentas”.</w:t>
      </w:r>
    </w:p>
    <w:p w:rsidR="00917E7A" w:rsidRDefault="00917E7A" w:rsidP="00917E7A">
      <w:pPr>
        <w:ind w:left="0" w:firstLine="0"/>
        <w:jc w:val="left"/>
        <w:rPr>
          <w:lang w:val="es-ES"/>
        </w:rPr>
      </w:pPr>
    </w:p>
    <w:p w:rsidR="00917E7A" w:rsidRPr="003900D6" w:rsidRDefault="00917E7A" w:rsidP="00917E7A">
      <w:pPr>
        <w:pStyle w:val="Default"/>
        <w:jc w:val="both"/>
        <w:rPr>
          <w:rFonts w:ascii="Arial" w:eastAsiaTheme="minorHAnsi" w:hAnsi="Arial" w:cs="Arial"/>
          <w:sz w:val="22"/>
          <w:szCs w:val="22"/>
          <w:lang w:eastAsia="en-US"/>
        </w:rPr>
      </w:pPr>
      <w:r w:rsidRPr="003900D6">
        <w:rPr>
          <w:rFonts w:ascii="Arial" w:hAnsi="Arial" w:cs="Arial"/>
          <w:sz w:val="22"/>
          <w:szCs w:val="22"/>
        </w:rPr>
        <w:t xml:space="preserve">En el apartado </w:t>
      </w:r>
      <w:r>
        <w:rPr>
          <w:rFonts w:ascii="Arial" w:hAnsi="Arial" w:cs="Arial"/>
          <w:sz w:val="22"/>
          <w:szCs w:val="22"/>
        </w:rPr>
        <w:t>4</w:t>
      </w:r>
      <w:r w:rsidRPr="003900D6">
        <w:rPr>
          <w:rFonts w:ascii="Arial" w:hAnsi="Arial" w:cs="Arial"/>
          <w:sz w:val="22"/>
          <w:szCs w:val="22"/>
        </w:rPr>
        <w:t xml:space="preserve"> del artículo 44 </w:t>
      </w:r>
      <w:r>
        <w:rPr>
          <w:rFonts w:ascii="Arial" w:hAnsi="Arial" w:cs="Arial"/>
          <w:sz w:val="22"/>
          <w:szCs w:val="22"/>
        </w:rPr>
        <w:t xml:space="preserve">del TRLAC </w:t>
      </w:r>
      <w:r w:rsidRPr="003900D6">
        <w:rPr>
          <w:rFonts w:ascii="Arial" w:hAnsi="Arial" w:cs="Arial"/>
          <w:sz w:val="22"/>
          <w:szCs w:val="22"/>
        </w:rPr>
        <w:t>se indica que la cuota tributaria de la tasa consiste en una cantidad fija de 9</w:t>
      </w:r>
      <w:r>
        <w:rPr>
          <w:rFonts w:ascii="Arial" w:hAnsi="Arial" w:cs="Arial"/>
          <w:sz w:val="22"/>
          <w:szCs w:val="22"/>
        </w:rPr>
        <w:t>9</w:t>
      </w:r>
      <w:r w:rsidRPr="003900D6">
        <w:rPr>
          <w:rFonts w:ascii="Arial" w:hAnsi="Arial" w:cs="Arial"/>
          <w:sz w:val="22"/>
          <w:szCs w:val="22"/>
        </w:rPr>
        <w:t>,</w:t>
      </w:r>
      <w:r>
        <w:rPr>
          <w:rFonts w:ascii="Arial" w:hAnsi="Arial" w:cs="Arial"/>
          <w:sz w:val="22"/>
          <w:szCs w:val="22"/>
        </w:rPr>
        <w:t>85</w:t>
      </w:r>
      <w:r w:rsidRPr="003900D6">
        <w:rPr>
          <w:rFonts w:ascii="Arial" w:hAnsi="Arial" w:cs="Arial"/>
          <w:sz w:val="22"/>
          <w:szCs w:val="22"/>
        </w:rPr>
        <w:t xml:space="preserve"> euros por informe de auditoría, excepto cuando los honorarios facturados son superiores a 30.000 euros que el importe queda fijado en 1</w:t>
      </w:r>
      <w:r>
        <w:rPr>
          <w:rFonts w:ascii="Arial" w:hAnsi="Arial" w:cs="Arial"/>
          <w:sz w:val="22"/>
          <w:szCs w:val="22"/>
        </w:rPr>
        <w:t>99</w:t>
      </w:r>
      <w:r w:rsidRPr="003900D6">
        <w:rPr>
          <w:rFonts w:ascii="Arial" w:hAnsi="Arial" w:cs="Arial"/>
          <w:sz w:val="22"/>
          <w:szCs w:val="22"/>
        </w:rPr>
        <w:t>,</w:t>
      </w:r>
      <w:r>
        <w:rPr>
          <w:rFonts w:ascii="Arial" w:hAnsi="Arial" w:cs="Arial"/>
          <w:sz w:val="22"/>
          <w:szCs w:val="22"/>
        </w:rPr>
        <w:t>70</w:t>
      </w:r>
      <w:r w:rsidRPr="003900D6">
        <w:rPr>
          <w:rFonts w:ascii="Arial" w:hAnsi="Arial" w:cs="Arial"/>
          <w:sz w:val="22"/>
          <w:szCs w:val="22"/>
        </w:rPr>
        <w:t xml:space="preserve"> euros,</w:t>
      </w:r>
      <w:r>
        <w:rPr>
          <w:rFonts w:ascii="Arial" w:hAnsi="Arial" w:cs="Arial"/>
          <w:sz w:val="22"/>
          <w:szCs w:val="22"/>
        </w:rPr>
        <w:t xml:space="preserve"> </w:t>
      </w:r>
      <w:r w:rsidRPr="003900D6">
        <w:rPr>
          <w:rFonts w:ascii="Arial" w:hAnsi="Arial" w:cs="Arial"/>
          <w:sz w:val="22"/>
          <w:szCs w:val="22"/>
        </w:rPr>
        <w:t xml:space="preserve">cuantías que, tal como indica el apartado 9 del mismo artículo, pueden ser modificadas cada año por la Ley de Presupuestos Generales del Estado. En este sentido el  artículo 75 de la Ley </w:t>
      </w:r>
      <w:r>
        <w:rPr>
          <w:rFonts w:ascii="Arial" w:hAnsi="Arial" w:cs="Arial"/>
          <w:sz w:val="22"/>
          <w:szCs w:val="22"/>
        </w:rPr>
        <w:t>17</w:t>
      </w:r>
      <w:r w:rsidRPr="003900D6">
        <w:rPr>
          <w:rFonts w:ascii="Arial" w:hAnsi="Arial" w:cs="Arial"/>
          <w:sz w:val="22"/>
          <w:szCs w:val="22"/>
        </w:rPr>
        <w:t xml:space="preserve">/2012, de </w:t>
      </w:r>
      <w:r>
        <w:rPr>
          <w:rFonts w:ascii="Arial" w:hAnsi="Arial" w:cs="Arial"/>
          <w:sz w:val="22"/>
          <w:szCs w:val="22"/>
        </w:rPr>
        <w:t>27</w:t>
      </w:r>
      <w:r w:rsidRPr="003900D6">
        <w:rPr>
          <w:rFonts w:ascii="Arial" w:hAnsi="Arial" w:cs="Arial"/>
          <w:sz w:val="22"/>
          <w:szCs w:val="22"/>
        </w:rPr>
        <w:t xml:space="preserve"> de </w:t>
      </w:r>
      <w:r>
        <w:rPr>
          <w:rFonts w:ascii="Arial" w:hAnsi="Arial" w:cs="Arial"/>
          <w:sz w:val="22"/>
          <w:szCs w:val="22"/>
        </w:rPr>
        <w:t>diciembre</w:t>
      </w:r>
      <w:r w:rsidRPr="003900D6">
        <w:rPr>
          <w:rFonts w:ascii="Arial" w:hAnsi="Arial" w:cs="Arial"/>
          <w:sz w:val="22"/>
          <w:szCs w:val="22"/>
        </w:rPr>
        <w:t>, de Presupuestos Generales del Estado para el año 201</w:t>
      </w:r>
      <w:r>
        <w:rPr>
          <w:rFonts w:ascii="Arial" w:hAnsi="Arial" w:cs="Arial"/>
          <w:sz w:val="22"/>
          <w:szCs w:val="22"/>
        </w:rPr>
        <w:t>3</w:t>
      </w:r>
      <w:r w:rsidRPr="003900D6">
        <w:rPr>
          <w:rFonts w:ascii="Arial" w:hAnsi="Arial" w:cs="Arial"/>
          <w:sz w:val="22"/>
          <w:szCs w:val="22"/>
        </w:rPr>
        <w:t xml:space="preserve"> </w:t>
      </w:r>
      <w:r>
        <w:rPr>
          <w:rFonts w:ascii="Arial" w:hAnsi="Arial" w:cs="Arial"/>
          <w:sz w:val="22"/>
          <w:szCs w:val="22"/>
        </w:rPr>
        <w:t>los ha modificado, quedando la tasa por emisión de informes de auditoría para los informes emitidos a partir del 1 de enero de 2013 establecidos de la siguiente forma:</w:t>
      </w:r>
    </w:p>
    <w:p w:rsidR="00917E7A" w:rsidRPr="008610E2" w:rsidRDefault="00917E7A" w:rsidP="00917E7A">
      <w:pPr>
        <w:ind w:left="0" w:firstLine="0"/>
        <w:rPr>
          <w:rFonts w:ascii="Calibri" w:hAnsi="Calibri" w:cs="Calibri"/>
          <w:color w:val="000000"/>
          <w:sz w:val="16"/>
          <w:szCs w:val="16"/>
          <w:lang w:val="es-ES"/>
        </w:rPr>
      </w:pPr>
    </w:p>
    <w:tbl>
      <w:tblPr>
        <w:tblStyle w:val="Tablaconcuadrcula"/>
        <w:tblW w:w="8011"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51"/>
        <w:gridCol w:w="3274"/>
        <w:gridCol w:w="1082"/>
        <w:gridCol w:w="1104"/>
      </w:tblGrid>
      <w:tr w:rsidR="00917E7A" w:rsidRPr="00E0256F" w:rsidTr="005D7617">
        <w:tc>
          <w:tcPr>
            <w:tcW w:w="2551" w:type="dxa"/>
          </w:tcPr>
          <w:p w:rsidR="00917E7A" w:rsidRPr="00E0256F" w:rsidRDefault="00917E7A" w:rsidP="00490C05">
            <w:pPr>
              <w:ind w:left="0" w:firstLine="0"/>
              <w:jc w:val="left"/>
              <w:rPr>
                <w:rFonts w:ascii="Arial" w:hAnsi="Arial" w:cs="Arial"/>
                <w:sz w:val="20"/>
                <w:szCs w:val="20"/>
                <w:lang w:val="es-ES"/>
              </w:rPr>
            </w:pPr>
          </w:p>
        </w:tc>
        <w:tc>
          <w:tcPr>
            <w:tcW w:w="3274" w:type="dxa"/>
          </w:tcPr>
          <w:p w:rsidR="00917E7A" w:rsidRPr="00E0256F" w:rsidRDefault="00917E7A" w:rsidP="00490C05">
            <w:pPr>
              <w:ind w:left="0" w:firstLine="0"/>
              <w:jc w:val="left"/>
              <w:rPr>
                <w:rFonts w:ascii="Arial" w:hAnsi="Arial" w:cs="Arial"/>
                <w:sz w:val="20"/>
                <w:szCs w:val="20"/>
                <w:lang w:val="es-ES"/>
              </w:rPr>
            </w:pPr>
          </w:p>
        </w:tc>
        <w:tc>
          <w:tcPr>
            <w:tcW w:w="2186" w:type="dxa"/>
            <w:gridSpan w:val="2"/>
          </w:tcPr>
          <w:p w:rsidR="00917E7A" w:rsidRPr="00E0256F" w:rsidRDefault="00917E7A" w:rsidP="00490C05">
            <w:pPr>
              <w:ind w:left="0" w:firstLine="0"/>
              <w:jc w:val="center"/>
              <w:rPr>
                <w:rFonts w:ascii="Arial" w:hAnsi="Arial" w:cs="Arial"/>
                <w:sz w:val="20"/>
                <w:szCs w:val="20"/>
                <w:lang w:val="es-ES"/>
              </w:rPr>
            </w:pPr>
          </w:p>
        </w:tc>
      </w:tr>
      <w:tr w:rsidR="00917E7A" w:rsidRPr="00E0256F" w:rsidTr="005D7617">
        <w:tc>
          <w:tcPr>
            <w:tcW w:w="2551" w:type="dxa"/>
          </w:tcPr>
          <w:p w:rsidR="00917E7A" w:rsidRPr="00E0256F" w:rsidRDefault="00917E7A" w:rsidP="00490C05">
            <w:pPr>
              <w:ind w:left="0" w:firstLine="0"/>
              <w:jc w:val="left"/>
              <w:rPr>
                <w:rFonts w:ascii="Arial" w:hAnsi="Arial" w:cs="Arial"/>
                <w:sz w:val="20"/>
                <w:szCs w:val="20"/>
                <w:lang w:val="es-ES"/>
              </w:rPr>
            </w:pPr>
            <w:r w:rsidRPr="00E0256F">
              <w:rPr>
                <w:rFonts w:ascii="Arial" w:hAnsi="Arial" w:cs="Arial"/>
                <w:sz w:val="20"/>
                <w:szCs w:val="20"/>
                <w:lang w:val="es-ES"/>
              </w:rPr>
              <w:t>Informes con honorarios:</w:t>
            </w:r>
          </w:p>
        </w:tc>
        <w:tc>
          <w:tcPr>
            <w:tcW w:w="3274" w:type="dxa"/>
          </w:tcPr>
          <w:p w:rsidR="00917E7A" w:rsidRPr="00E0256F" w:rsidRDefault="00917E7A" w:rsidP="00490C05">
            <w:pPr>
              <w:ind w:left="0" w:firstLine="0"/>
              <w:jc w:val="left"/>
              <w:rPr>
                <w:rFonts w:ascii="Arial" w:hAnsi="Arial" w:cs="Arial"/>
                <w:sz w:val="20"/>
                <w:szCs w:val="20"/>
                <w:lang w:val="es-ES"/>
              </w:rPr>
            </w:pPr>
            <w:r w:rsidRPr="00E0256F">
              <w:rPr>
                <w:rFonts w:ascii="Arial" w:hAnsi="Arial" w:cs="Arial"/>
                <w:sz w:val="20"/>
                <w:szCs w:val="20"/>
                <w:lang w:val="es-ES"/>
              </w:rPr>
              <w:t>Tipo de entidad</w:t>
            </w:r>
          </w:p>
        </w:tc>
        <w:tc>
          <w:tcPr>
            <w:tcW w:w="1082" w:type="dxa"/>
          </w:tcPr>
          <w:p w:rsidR="00917E7A" w:rsidRPr="00E0256F" w:rsidRDefault="00917E7A" w:rsidP="00490C05">
            <w:pPr>
              <w:ind w:left="0" w:firstLine="0"/>
              <w:jc w:val="left"/>
              <w:rPr>
                <w:rFonts w:ascii="Arial" w:hAnsi="Arial" w:cs="Arial"/>
                <w:sz w:val="20"/>
                <w:szCs w:val="20"/>
                <w:lang w:val="es-ES"/>
              </w:rPr>
            </w:pPr>
          </w:p>
        </w:tc>
        <w:tc>
          <w:tcPr>
            <w:tcW w:w="1104" w:type="dxa"/>
          </w:tcPr>
          <w:p w:rsidR="00917E7A" w:rsidRPr="00E0256F" w:rsidRDefault="00917E7A" w:rsidP="00490C05">
            <w:pPr>
              <w:ind w:left="0" w:firstLine="0"/>
              <w:jc w:val="left"/>
              <w:rPr>
                <w:rFonts w:ascii="Arial" w:hAnsi="Arial" w:cs="Arial"/>
                <w:sz w:val="20"/>
                <w:szCs w:val="20"/>
                <w:lang w:val="es-ES"/>
              </w:rPr>
            </w:pPr>
          </w:p>
        </w:tc>
      </w:tr>
      <w:tr w:rsidR="00917E7A" w:rsidRPr="00E0256F" w:rsidTr="005D7617">
        <w:tc>
          <w:tcPr>
            <w:tcW w:w="2551" w:type="dxa"/>
            <w:shd w:val="clear" w:color="auto" w:fill="DBE5F1" w:themeFill="accent1" w:themeFillTint="33"/>
          </w:tcPr>
          <w:p w:rsidR="00917E7A" w:rsidRPr="00E0256F" w:rsidRDefault="00917E7A" w:rsidP="005D7617">
            <w:pPr>
              <w:ind w:left="317" w:right="142" w:firstLine="0"/>
              <w:jc w:val="left"/>
              <w:rPr>
                <w:rFonts w:ascii="Arial" w:hAnsi="Arial" w:cs="Arial"/>
                <w:sz w:val="20"/>
                <w:szCs w:val="20"/>
                <w:lang w:val="es-ES"/>
              </w:rPr>
            </w:pPr>
            <w:r w:rsidRPr="00E0256F">
              <w:rPr>
                <w:rFonts w:ascii="Arial" w:hAnsi="Arial" w:cs="Arial"/>
                <w:sz w:val="20"/>
                <w:szCs w:val="20"/>
                <w:lang w:val="es-ES"/>
              </w:rPr>
              <w:t>&lt; a 30.000€</w:t>
            </w:r>
          </w:p>
        </w:tc>
        <w:tc>
          <w:tcPr>
            <w:tcW w:w="3274" w:type="dxa"/>
            <w:shd w:val="clear" w:color="auto" w:fill="DBE5F1" w:themeFill="accent1" w:themeFillTint="33"/>
          </w:tcPr>
          <w:p w:rsidR="00917E7A" w:rsidRPr="00E0256F" w:rsidRDefault="00917E7A" w:rsidP="00490C05">
            <w:pPr>
              <w:ind w:left="0" w:firstLine="0"/>
              <w:jc w:val="left"/>
              <w:rPr>
                <w:rFonts w:ascii="Arial" w:hAnsi="Arial" w:cs="Arial"/>
                <w:sz w:val="20"/>
                <w:szCs w:val="20"/>
                <w:lang w:val="es-ES"/>
              </w:rPr>
            </w:pPr>
            <w:r w:rsidRPr="00E0256F">
              <w:rPr>
                <w:rFonts w:ascii="Arial" w:hAnsi="Arial" w:cs="Arial"/>
                <w:sz w:val="20"/>
                <w:szCs w:val="20"/>
                <w:lang w:val="es-ES"/>
              </w:rPr>
              <w:t>Entidades de interés público</w:t>
            </w:r>
          </w:p>
        </w:tc>
        <w:tc>
          <w:tcPr>
            <w:tcW w:w="1082" w:type="dxa"/>
            <w:shd w:val="clear" w:color="auto" w:fill="DBE5F1" w:themeFill="accent1" w:themeFillTint="33"/>
          </w:tcPr>
          <w:p w:rsidR="00917E7A" w:rsidRPr="00E0256F" w:rsidRDefault="00917E7A" w:rsidP="00490C05">
            <w:pPr>
              <w:tabs>
                <w:tab w:val="decimal" w:pos="449"/>
              </w:tabs>
              <w:ind w:left="0" w:firstLine="0"/>
              <w:jc w:val="left"/>
              <w:rPr>
                <w:rFonts w:ascii="Arial" w:hAnsi="Arial" w:cs="Arial"/>
                <w:sz w:val="20"/>
                <w:szCs w:val="20"/>
                <w:lang w:val="es-ES"/>
              </w:rPr>
            </w:pPr>
            <w:r>
              <w:rPr>
                <w:rFonts w:ascii="Arial" w:hAnsi="Arial" w:cs="Arial"/>
                <w:sz w:val="20"/>
                <w:szCs w:val="20"/>
                <w:lang w:val="es-ES"/>
              </w:rPr>
              <w:t>199,70</w:t>
            </w:r>
          </w:p>
        </w:tc>
        <w:tc>
          <w:tcPr>
            <w:tcW w:w="1104" w:type="dxa"/>
            <w:shd w:val="clear" w:color="auto" w:fill="DBE5F1" w:themeFill="accent1" w:themeFillTint="33"/>
          </w:tcPr>
          <w:p w:rsidR="00917E7A" w:rsidRPr="00E0256F" w:rsidRDefault="00917E7A" w:rsidP="00490C05">
            <w:pPr>
              <w:tabs>
                <w:tab w:val="decimal" w:pos="449"/>
              </w:tabs>
              <w:ind w:left="0" w:firstLine="0"/>
              <w:jc w:val="left"/>
              <w:rPr>
                <w:rFonts w:ascii="Arial" w:hAnsi="Arial" w:cs="Arial"/>
                <w:sz w:val="20"/>
                <w:szCs w:val="20"/>
                <w:lang w:val="es-ES"/>
              </w:rPr>
            </w:pPr>
          </w:p>
        </w:tc>
      </w:tr>
      <w:tr w:rsidR="00917E7A" w:rsidRPr="00E0256F" w:rsidTr="005D7617">
        <w:tc>
          <w:tcPr>
            <w:tcW w:w="2551" w:type="dxa"/>
            <w:shd w:val="clear" w:color="auto" w:fill="DBE5F1" w:themeFill="accent1" w:themeFillTint="33"/>
          </w:tcPr>
          <w:p w:rsidR="00917E7A" w:rsidRPr="00E0256F" w:rsidRDefault="00917E7A" w:rsidP="005D7617">
            <w:pPr>
              <w:ind w:left="317" w:right="142" w:firstLine="0"/>
              <w:jc w:val="left"/>
              <w:rPr>
                <w:rFonts w:ascii="Arial" w:hAnsi="Arial" w:cs="Arial"/>
                <w:sz w:val="20"/>
                <w:szCs w:val="20"/>
                <w:lang w:val="es-ES"/>
              </w:rPr>
            </w:pPr>
          </w:p>
        </w:tc>
        <w:tc>
          <w:tcPr>
            <w:tcW w:w="3274" w:type="dxa"/>
            <w:shd w:val="clear" w:color="auto" w:fill="DBE5F1" w:themeFill="accent1" w:themeFillTint="33"/>
          </w:tcPr>
          <w:p w:rsidR="00917E7A" w:rsidRPr="00E0256F" w:rsidRDefault="00917E7A" w:rsidP="00490C05">
            <w:pPr>
              <w:ind w:left="0" w:firstLine="0"/>
              <w:jc w:val="left"/>
              <w:rPr>
                <w:rFonts w:ascii="Arial" w:hAnsi="Arial" w:cs="Arial"/>
                <w:sz w:val="20"/>
                <w:szCs w:val="20"/>
                <w:lang w:val="es-ES"/>
              </w:rPr>
            </w:pPr>
            <w:r w:rsidRPr="00E0256F">
              <w:rPr>
                <w:rFonts w:ascii="Arial" w:hAnsi="Arial" w:cs="Arial"/>
                <w:sz w:val="20"/>
                <w:szCs w:val="20"/>
                <w:lang w:val="es-ES"/>
              </w:rPr>
              <w:t>Resto</w:t>
            </w:r>
          </w:p>
        </w:tc>
        <w:tc>
          <w:tcPr>
            <w:tcW w:w="1082" w:type="dxa"/>
            <w:shd w:val="clear" w:color="auto" w:fill="DBE5F1" w:themeFill="accent1" w:themeFillTint="33"/>
          </w:tcPr>
          <w:p w:rsidR="00917E7A" w:rsidRPr="00E0256F" w:rsidRDefault="00917E7A" w:rsidP="00490C05">
            <w:pPr>
              <w:tabs>
                <w:tab w:val="decimal" w:pos="449"/>
              </w:tabs>
              <w:ind w:left="0" w:firstLine="0"/>
              <w:jc w:val="left"/>
              <w:rPr>
                <w:rFonts w:ascii="Arial" w:hAnsi="Arial" w:cs="Arial"/>
                <w:sz w:val="20"/>
                <w:szCs w:val="20"/>
                <w:lang w:val="es-ES"/>
              </w:rPr>
            </w:pPr>
            <w:r>
              <w:rPr>
                <w:rFonts w:ascii="Arial" w:hAnsi="Arial" w:cs="Arial"/>
                <w:sz w:val="20"/>
                <w:szCs w:val="20"/>
                <w:lang w:val="es-ES"/>
              </w:rPr>
              <w:t>99,85</w:t>
            </w:r>
          </w:p>
        </w:tc>
        <w:tc>
          <w:tcPr>
            <w:tcW w:w="1104" w:type="dxa"/>
            <w:shd w:val="clear" w:color="auto" w:fill="DBE5F1" w:themeFill="accent1" w:themeFillTint="33"/>
          </w:tcPr>
          <w:p w:rsidR="00917E7A" w:rsidRPr="00E0256F" w:rsidRDefault="00917E7A" w:rsidP="00490C05">
            <w:pPr>
              <w:tabs>
                <w:tab w:val="decimal" w:pos="449"/>
              </w:tabs>
              <w:ind w:left="0" w:firstLine="0"/>
              <w:jc w:val="left"/>
              <w:rPr>
                <w:rFonts w:ascii="Arial" w:hAnsi="Arial" w:cs="Arial"/>
                <w:sz w:val="20"/>
                <w:szCs w:val="20"/>
                <w:lang w:val="es-ES"/>
              </w:rPr>
            </w:pPr>
          </w:p>
        </w:tc>
      </w:tr>
      <w:tr w:rsidR="00917E7A" w:rsidRPr="00E0256F" w:rsidTr="005D7617">
        <w:trPr>
          <w:trHeight w:hRule="exact" w:val="113"/>
        </w:trPr>
        <w:tc>
          <w:tcPr>
            <w:tcW w:w="2551" w:type="dxa"/>
          </w:tcPr>
          <w:p w:rsidR="00917E7A" w:rsidRPr="00E0256F" w:rsidRDefault="00917E7A" w:rsidP="005D7617">
            <w:pPr>
              <w:ind w:left="317" w:right="142" w:firstLine="0"/>
              <w:jc w:val="left"/>
              <w:rPr>
                <w:rFonts w:ascii="Arial" w:hAnsi="Arial" w:cs="Arial"/>
                <w:sz w:val="20"/>
                <w:szCs w:val="20"/>
                <w:lang w:val="es-ES"/>
              </w:rPr>
            </w:pPr>
          </w:p>
        </w:tc>
        <w:tc>
          <w:tcPr>
            <w:tcW w:w="3274" w:type="dxa"/>
          </w:tcPr>
          <w:p w:rsidR="00917E7A" w:rsidRPr="00E0256F" w:rsidRDefault="00917E7A" w:rsidP="00490C05">
            <w:pPr>
              <w:ind w:left="0" w:firstLine="0"/>
              <w:jc w:val="left"/>
              <w:rPr>
                <w:rFonts w:ascii="Arial" w:hAnsi="Arial" w:cs="Arial"/>
                <w:sz w:val="20"/>
                <w:szCs w:val="20"/>
                <w:lang w:val="es-ES"/>
              </w:rPr>
            </w:pPr>
          </w:p>
        </w:tc>
        <w:tc>
          <w:tcPr>
            <w:tcW w:w="1082" w:type="dxa"/>
          </w:tcPr>
          <w:p w:rsidR="00917E7A" w:rsidRPr="00E0256F" w:rsidRDefault="00917E7A" w:rsidP="00490C05">
            <w:pPr>
              <w:tabs>
                <w:tab w:val="decimal" w:pos="449"/>
              </w:tabs>
              <w:ind w:left="0" w:firstLine="0"/>
              <w:jc w:val="left"/>
              <w:rPr>
                <w:rFonts w:ascii="Arial" w:hAnsi="Arial" w:cs="Arial"/>
                <w:sz w:val="20"/>
                <w:szCs w:val="20"/>
                <w:lang w:val="es-ES"/>
              </w:rPr>
            </w:pPr>
          </w:p>
        </w:tc>
        <w:tc>
          <w:tcPr>
            <w:tcW w:w="1104" w:type="dxa"/>
          </w:tcPr>
          <w:p w:rsidR="00917E7A" w:rsidRPr="00E0256F" w:rsidRDefault="00917E7A" w:rsidP="00490C05">
            <w:pPr>
              <w:tabs>
                <w:tab w:val="decimal" w:pos="449"/>
              </w:tabs>
              <w:ind w:left="0" w:firstLine="0"/>
              <w:jc w:val="left"/>
              <w:rPr>
                <w:rFonts w:ascii="Arial" w:hAnsi="Arial" w:cs="Arial"/>
                <w:sz w:val="20"/>
                <w:szCs w:val="20"/>
                <w:lang w:val="es-ES"/>
              </w:rPr>
            </w:pPr>
          </w:p>
        </w:tc>
      </w:tr>
      <w:tr w:rsidR="00917E7A" w:rsidRPr="00E0256F" w:rsidTr="005D7617">
        <w:tc>
          <w:tcPr>
            <w:tcW w:w="2551" w:type="dxa"/>
            <w:shd w:val="clear" w:color="auto" w:fill="DBE5F1" w:themeFill="accent1" w:themeFillTint="33"/>
          </w:tcPr>
          <w:p w:rsidR="00917E7A" w:rsidRPr="00E0256F" w:rsidRDefault="00917E7A" w:rsidP="005D7617">
            <w:pPr>
              <w:ind w:left="317" w:right="142" w:firstLine="0"/>
              <w:jc w:val="left"/>
              <w:rPr>
                <w:rFonts w:ascii="Arial" w:hAnsi="Arial" w:cs="Arial"/>
                <w:sz w:val="20"/>
                <w:szCs w:val="20"/>
                <w:lang w:val="es-ES"/>
              </w:rPr>
            </w:pPr>
            <w:r w:rsidRPr="00E0256F">
              <w:rPr>
                <w:rFonts w:ascii="Arial" w:hAnsi="Arial" w:cs="Arial"/>
                <w:sz w:val="20"/>
                <w:szCs w:val="20"/>
                <w:lang w:val="es-ES"/>
              </w:rPr>
              <w:t>&gt; a 30.000€</w:t>
            </w:r>
          </w:p>
        </w:tc>
        <w:tc>
          <w:tcPr>
            <w:tcW w:w="3274" w:type="dxa"/>
            <w:shd w:val="clear" w:color="auto" w:fill="DBE5F1" w:themeFill="accent1" w:themeFillTint="33"/>
          </w:tcPr>
          <w:p w:rsidR="00917E7A" w:rsidRPr="00E0256F" w:rsidRDefault="00917E7A" w:rsidP="00490C05">
            <w:pPr>
              <w:ind w:left="0" w:firstLine="0"/>
              <w:jc w:val="left"/>
              <w:rPr>
                <w:rFonts w:ascii="Arial" w:hAnsi="Arial" w:cs="Arial"/>
                <w:sz w:val="20"/>
                <w:szCs w:val="20"/>
                <w:lang w:val="es-ES"/>
              </w:rPr>
            </w:pPr>
            <w:r w:rsidRPr="00E0256F">
              <w:rPr>
                <w:rFonts w:ascii="Arial" w:hAnsi="Arial" w:cs="Arial"/>
                <w:sz w:val="20"/>
                <w:szCs w:val="20"/>
                <w:lang w:val="es-ES"/>
              </w:rPr>
              <w:t>Entidades de interés público</w:t>
            </w:r>
          </w:p>
        </w:tc>
        <w:tc>
          <w:tcPr>
            <w:tcW w:w="1082" w:type="dxa"/>
            <w:shd w:val="clear" w:color="auto" w:fill="DBE5F1" w:themeFill="accent1" w:themeFillTint="33"/>
          </w:tcPr>
          <w:p w:rsidR="00917E7A" w:rsidRPr="00E0256F" w:rsidRDefault="00917E7A" w:rsidP="00490C05">
            <w:pPr>
              <w:tabs>
                <w:tab w:val="decimal" w:pos="449"/>
              </w:tabs>
              <w:ind w:left="0" w:firstLine="0"/>
              <w:jc w:val="left"/>
              <w:rPr>
                <w:rFonts w:ascii="Arial" w:hAnsi="Arial" w:cs="Arial"/>
                <w:sz w:val="20"/>
                <w:szCs w:val="20"/>
                <w:lang w:val="es-ES"/>
              </w:rPr>
            </w:pPr>
            <w:r>
              <w:rPr>
                <w:rFonts w:ascii="Arial" w:hAnsi="Arial" w:cs="Arial"/>
                <w:sz w:val="20"/>
                <w:szCs w:val="20"/>
                <w:lang w:val="es-ES"/>
              </w:rPr>
              <w:t>399,40</w:t>
            </w:r>
          </w:p>
        </w:tc>
        <w:tc>
          <w:tcPr>
            <w:tcW w:w="1104" w:type="dxa"/>
            <w:shd w:val="clear" w:color="auto" w:fill="DBE5F1" w:themeFill="accent1" w:themeFillTint="33"/>
          </w:tcPr>
          <w:p w:rsidR="00917E7A" w:rsidRPr="00E0256F" w:rsidRDefault="00917E7A" w:rsidP="00490C05">
            <w:pPr>
              <w:tabs>
                <w:tab w:val="decimal" w:pos="449"/>
              </w:tabs>
              <w:ind w:left="0" w:firstLine="0"/>
              <w:jc w:val="left"/>
              <w:rPr>
                <w:rFonts w:ascii="Arial" w:hAnsi="Arial" w:cs="Arial"/>
                <w:sz w:val="20"/>
                <w:szCs w:val="20"/>
                <w:lang w:val="es-ES"/>
              </w:rPr>
            </w:pPr>
          </w:p>
        </w:tc>
      </w:tr>
      <w:tr w:rsidR="00917E7A" w:rsidRPr="00E0256F" w:rsidTr="005D7617">
        <w:tc>
          <w:tcPr>
            <w:tcW w:w="2551" w:type="dxa"/>
            <w:shd w:val="clear" w:color="auto" w:fill="DBE5F1" w:themeFill="accent1" w:themeFillTint="33"/>
          </w:tcPr>
          <w:p w:rsidR="00917E7A" w:rsidRPr="00E0256F" w:rsidRDefault="00917E7A" w:rsidP="00490C05">
            <w:pPr>
              <w:ind w:left="1026" w:right="142" w:firstLine="0"/>
              <w:jc w:val="right"/>
              <w:rPr>
                <w:rFonts w:ascii="Arial" w:hAnsi="Arial" w:cs="Arial"/>
                <w:sz w:val="20"/>
                <w:szCs w:val="20"/>
                <w:lang w:val="es-ES"/>
              </w:rPr>
            </w:pPr>
          </w:p>
        </w:tc>
        <w:tc>
          <w:tcPr>
            <w:tcW w:w="3274" w:type="dxa"/>
            <w:shd w:val="clear" w:color="auto" w:fill="DBE5F1" w:themeFill="accent1" w:themeFillTint="33"/>
          </w:tcPr>
          <w:p w:rsidR="00917E7A" w:rsidRPr="00E0256F" w:rsidRDefault="00917E7A" w:rsidP="00490C05">
            <w:pPr>
              <w:ind w:left="0" w:firstLine="0"/>
              <w:jc w:val="left"/>
              <w:rPr>
                <w:rFonts w:ascii="Arial" w:hAnsi="Arial" w:cs="Arial"/>
                <w:sz w:val="20"/>
                <w:szCs w:val="20"/>
                <w:lang w:val="es-ES"/>
              </w:rPr>
            </w:pPr>
            <w:r w:rsidRPr="00E0256F">
              <w:rPr>
                <w:rFonts w:ascii="Arial" w:hAnsi="Arial" w:cs="Arial"/>
                <w:sz w:val="20"/>
                <w:szCs w:val="20"/>
                <w:lang w:val="es-ES"/>
              </w:rPr>
              <w:t>Resto</w:t>
            </w:r>
          </w:p>
        </w:tc>
        <w:tc>
          <w:tcPr>
            <w:tcW w:w="1082" w:type="dxa"/>
            <w:shd w:val="clear" w:color="auto" w:fill="DBE5F1" w:themeFill="accent1" w:themeFillTint="33"/>
          </w:tcPr>
          <w:p w:rsidR="00917E7A" w:rsidRPr="00E0256F" w:rsidRDefault="00917E7A" w:rsidP="00490C05">
            <w:pPr>
              <w:tabs>
                <w:tab w:val="decimal" w:pos="449"/>
              </w:tabs>
              <w:ind w:left="0" w:firstLine="0"/>
              <w:jc w:val="left"/>
              <w:rPr>
                <w:rFonts w:ascii="Arial" w:hAnsi="Arial" w:cs="Arial"/>
                <w:sz w:val="20"/>
                <w:szCs w:val="20"/>
                <w:lang w:val="es-ES"/>
              </w:rPr>
            </w:pPr>
            <w:r>
              <w:rPr>
                <w:rFonts w:ascii="Arial" w:hAnsi="Arial" w:cs="Arial"/>
                <w:sz w:val="20"/>
                <w:szCs w:val="20"/>
                <w:lang w:val="es-ES"/>
              </w:rPr>
              <w:t>199,70</w:t>
            </w:r>
          </w:p>
        </w:tc>
        <w:tc>
          <w:tcPr>
            <w:tcW w:w="1104" w:type="dxa"/>
            <w:shd w:val="clear" w:color="auto" w:fill="DBE5F1" w:themeFill="accent1" w:themeFillTint="33"/>
          </w:tcPr>
          <w:p w:rsidR="00917E7A" w:rsidRPr="00E0256F" w:rsidRDefault="00917E7A" w:rsidP="00490C05">
            <w:pPr>
              <w:tabs>
                <w:tab w:val="decimal" w:pos="449"/>
              </w:tabs>
              <w:ind w:left="0" w:firstLine="0"/>
              <w:jc w:val="left"/>
              <w:rPr>
                <w:rFonts w:ascii="Arial" w:hAnsi="Arial" w:cs="Arial"/>
                <w:sz w:val="20"/>
                <w:szCs w:val="20"/>
                <w:lang w:val="es-ES"/>
              </w:rPr>
            </w:pPr>
          </w:p>
        </w:tc>
      </w:tr>
    </w:tbl>
    <w:p w:rsidR="00917E7A" w:rsidRDefault="00917E7A" w:rsidP="00917E7A">
      <w:pPr>
        <w:ind w:left="0" w:firstLine="0"/>
        <w:jc w:val="left"/>
      </w:pPr>
    </w:p>
    <w:p w:rsidR="00917E7A" w:rsidRDefault="00917E7A" w:rsidP="00917E7A">
      <w:pPr>
        <w:ind w:left="0" w:firstLine="0"/>
        <w:rPr>
          <w:rFonts w:ascii="Arial" w:hAnsi="Arial" w:cs="Arial"/>
          <w:lang w:val="es-ES"/>
        </w:rPr>
      </w:pPr>
      <w:r>
        <w:rPr>
          <w:rFonts w:ascii="Arial" w:hAnsi="Arial" w:cs="Arial"/>
          <w:lang w:val="es-ES"/>
        </w:rPr>
        <w:t>El devengo de la tasa es el último día de cada trimestre natural en relación con los informes de auditoría emitidos en cada trimestre, correspondiendo la gestión y recaudación en periodo voluntario al ICAC, que reglamentariamente determina las normas de liquidación y pago, incluyendo la posibilidad de establecer la obligación para los sujetos pasivos de autoliquidación e ingreso, forma de gestión implantada actualmente. Por otra parte la recaudación en vía ejecutiva corresponde a la Agencia Estatal de la Administración Tributaria.</w:t>
      </w:r>
    </w:p>
    <w:p w:rsidR="00917E7A" w:rsidRDefault="00917E7A" w:rsidP="00917E7A">
      <w:pPr>
        <w:ind w:left="0" w:firstLine="0"/>
        <w:rPr>
          <w:rFonts w:ascii="Arial" w:hAnsi="Arial" w:cs="Arial"/>
          <w:lang w:val="es-ES"/>
        </w:rPr>
      </w:pPr>
    </w:p>
    <w:p w:rsidR="00917E7A" w:rsidRDefault="00917E7A" w:rsidP="00917E7A">
      <w:pPr>
        <w:ind w:left="0" w:firstLine="0"/>
        <w:rPr>
          <w:rFonts w:ascii="Arial" w:hAnsi="Arial" w:cs="Arial"/>
          <w:lang w:val="es-ES"/>
        </w:rPr>
      </w:pPr>
      <w:r>
        <w:rPr>
          <w:rFonts w:ascii="Arial" w:hAnsi="Arial" w:cs="Arial"/>
          <w:lang w:val="es-ES"/>
        </w:rPr>
        <w:t>Destaca la aprobación del modelo de autoliquidación y pago de la tasa prevista en el artículo 44 del TRLAC por medio de Orden ECC/337/2013, de 21 de febrero.</w:t>
      </w:r>
    </w:p>
    <w:p w:rsidR="00917E7A" w:rsidRDefault="00917E7A" w:rsidP="00917E7A">
      <w:pPr>
        <w:ind w:left="0" w:firstLine="0"/>
      </w:pPr>
    </w:p>
    <w:p w:rsidR="00917E7A" w:rsidRDefault="00917E7A" w:rsidP="00917E7A">
      <w:pPr>
        <w:ind w:left="0" w:firstLine="0"/>
        <w:jc w:val="left"/>
      </w:pPr>
    </w:p>
    <w:tbl>
      <w:tblPr>
        <w:tblStyle w:val="Listamedia1-nfasis6"/>
        <w:tblW w:w="8553" w:type="dxa"/>
        <w:tblInd w:w="-34"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blBorders>
        <w:tblLook w:val="0480"/>
      </w:tblPr>
      <w:tblGrid>
        <w:gridCol w:w="873"/>
        <w:gridCol w:w="7680"/>
      </w:tblGrid>
      <w:tr w:rsidR="00917E7A" w:rsidRPr="00401271" w:rsidTr="00490C05">
        <w:trPr>
          <w:cnfStyle w:val="000000100000"/>
        </w:trPr>
        <w:tc>
          <w:tcPr>
            <w:cnfStyle w:val="001000000000"/>
            <w:tcW w:w="873" w:type="dxa"/>
            <w:tcBorders>
              <w:top w:val="nil"/>
              <w:left w:val="nil"/>
              <w:bottom w:val="nil"/>
              <w:right w:val="nil"/>
            </w:tcBorders>
            <w:shd w:val="clear" w:color="auto" w:fill="DBE5F1" w:themeFill="accent1" w:themeFillTint="33"/>
          </w:tcPr>
          <w:p w:rsidR="00917E7A" w:rsidRPr="00401271" w:rsidRDefault="00917E7A" w:rsidP="00490C05">
            <w:pPr>
              <w:ind w:left="0" w:right="-1" w:firstLine="0"/>
              <w:jc w:val="left"/>
              <w:rPr>
                <w:rFonts w:ascii="Arial" w:hAnsi="Arial" w:cs="Arial"/>
                <w:color w:val="1F497D" w:themeColor="text2"/>
                <w:lang w:val="es-ES"/>
              </w:rPr>
            </w:pPr>
            <w:r>
              <w:rPr>
                <w:rFonts w:ascii="Arial" w:hAnsi="Arial" w:cs="Arial"/>
                <w:color w:val="1F497D" w:themeColor="text2"/>
                <w:lang w:val="es-ES"/>
              </w:rPr>
              <w:t>9.2</w:t>
            </w:r>
          </w:p>
        </w:tc>
        <w:tc>
          <w:tcPr>
            <w:tcW w:w="7680" w:type="dxa"/>
            <w:tcBorders>
              <w:top w:val="nil"/>
              <w:left w:val="nil"/>
              <w:bottom w:val="nil"/>
              <w:right w:val="nil"/>
            </w:tcBorders>
            <w:shd w:val="clear" w:color="auto" w:fill="DBE5F1" w:themeFill="accent1" w:themeFillTint="33"/>
          </w:tcPr>
          <w:p w:rsidR="00917E7A" w:rsidRPr="00401271" w:rsidRDefault="00917E7A" w:rsidP="00490C05">
            <w:pPr>
              <w:ind w:left="0" w:right="-1" w:firstLine="0"/>
              <w:jc w:val="left"/>
              <w:cnfStyle w:val="000000100000"/>
              <w:rPr>
                <w:rFonts w:ascii="Arial" w:hAnsi="Arial" w:cs="Arial"/>
                <w:color w:val="1F497D" w:themeColor="text2"/>
                <w:lang w:val="es-ES"/>
              </w:rPr>
            </w:pPr>
            <w:r w:rsidRPr="00A12AB1">
              <w:rPr>
                <w:rFonts w:ascii="Arial" w:hAnsi="Arial" w:cs="Arial"/>
                <w:color w:val="1F497D" w:themeColor="text2"/>
                <w:lang w:val="es-ES"/>
              </w:rPr>
              <w:t xml:space="preserve">Cumplimentación </w:t>
            </w:r>
            <w:r>
              <w:rPr>
                <w:rFonts w:ascii="Arial" w:hAnsi="Arial" w:cs="Arial"/>
                <w:color w:val="1F497D" w:themeColor="text2"/>
                <w:lang w:val="es-ES"/>
              </w:rPr>
              <w:t xml:space="preserve">de los modelos 02 y </w:t>
            </w:r>
            <w:r w:rsidRPr="00A12AB1">
              <w:rPr>
                <w:rFonts w:ascii="Arial" w:hAnsi="Arial" w:cs="Arial"/>
                <w:color w:val="1F497D" w:themeColor="text2"/>
                <w:lang w:val="es-ES"/>
              </w:rPr>
              <w:t>03</w:t>
            </w:r>
          </w:p>
        </w:tc>
      </w:tr>
    </w:tbl>
    <w:p w:rsidR="00917E7A" w:rsidRDefault="00917E7A" w:rsidP="00917E7A">
      <w:pPr>
        <w:ind w:left="0" w:firstLine="0"/>
        <w:jc w:val="left"/>
      </w:pPr>
    </w:p>
    <w:p w:rsidR="00917E7A" w:rsidRDefault="00917E7A" w:rsidP="00917E7A">
      <w:pPr>
        <w:ind w:left="0" w:firstLine="0"/>
        <w:rPr>
          <w:rFonts w:ascii="Arial" w:hAnsi="Arial" w:cs="Arial"/>
          <w:lang w:val="es-ES"/>
        </w:rPr>
      </w:pPr>
      <w:r>
        <w:rPr>
          <w:rFonts w:ascii="Arial" w:hAnsi="Arial" w:cs="Arial"/>
          <w:lang w:val="es-ES"/>
        </w:rPr>
        <w:t>E</w:t>
      </w:r>
      <w:r w:rsidRPr="00B67CB9">
        <w:rPr>
          <w:rFonts w:ascii="Arial" w:hAnsi="Arial" w:cs="Arial"/>
          <w:lang w:val="es-ES"/>
        </w:rPr>
        <w:t>l artículo 79 del RTRLAC</w:t>
      </w:r>
      <w:r>
        <w:rPr>
          <w:rFonts w:ascii="Arial" w:hAnsi="Arial" w:cs="Arial"/>
          <w:lang w:val="es-ES"/>
        </w:rPr>
        <w:t xml:space="preserve"> regula el contenido y plazo de la</w:t>
      </w:r>
      <w:r w:rsidRPr="00B67CB9">
        <w:rPr>
          <w:rFonts w:ascii="Arial" w:hAnsi="Arial" w:cs="Arial"/>
          <w:lang w:val="es-ES"/>
        </w:rPr>
        <w:t xml:space="preserve"> información a remitir por los auditores de cuentas y sociedades de auditorí</w:t>
      </w:r>
      <w:r>
        <w:rPr>
          <w:rFonts w:ascii="Arial" w:hAnsi="Arial" w:cs="Arial"/>
          <w:lang w:val="es-ES"/>
        </w:rPr>
        <w:t>a</w:t>
      </w:r>
      <w:r w:rsidRPr="00B67CB9">
        <w:rPr>
          <w:rFonts w:ascii="Arial" w:hAnsi="Arial" w:cs="Arial"/>
          <w:lang w:val="es-ES"/>
        </w:rPr>
        <w:t xml:space="preserve"> al ICAC</w:t>
      </w:r>
      <w:r>
        <w:rPr>
          <w:rFonts w:ascii="Arial" w:hAnsi="Arial" w:cs="Arial"/>
          <w:lang w:val="es-ES"/>
        </w:rPr>
        <w:t>. La Resolución de 29 de junio de 2012 del ICAC aprueba los modelos de información 02 –para los auditores de cuentas– y 03 –para sociedades de auditoría– en los que se recogen todos los requisitos de información contemplados en dicho artículo del RTRLAC.</w:t>
      </w:r>
    </w:p>
    <w:p w:rsidR="00917E7A" w:rsidRDefault="00917E7A" w:rsidP="00917E7A">
      <w:pPr>
        <w:ind w:left="0" w:firstLine="0"/>
        <w:rPr>
          <w:rFonts w:ascii="Arial" w:hAnsi="Arial" w:cs="Arial"/>
          <w:lang w:val="es-ES"/>
        </w:rPr>
      </w:pPr>
    </w:p>
    <w:p w:rsidR="00917E7A" w:rsidRDefault="00917E7A" w:rsidP="00917E7A">
      <w:pPr>
        <w:ind w:left="0" w:firstLine="0"/>
        <w:rPr>
          <w:rFonts w:ascii="Arial" w:hAnsi="Arial" w:cs="Arial"/>
          <w:lang w:val="es-ES"/>
        </w:rPr>
      </w:pPr>
      <w:r>
        <w:rPr>
          <w:rFonts w:ascii="Arial" w:hAnsi="Arial" w:cs="Arial"/>
          <w:lang w:val="es-ES"/>
        </w:rPr>
        <w:t>Los modelos 02 y 03 están disponibles en la página web del ICAC, previa descarga del programa que permite su cumplimentación. La presentación telemática de dichos formularios será obligatoria a partir de octubre de 2013, sin perjuicio de que con anterioridad se hayan utilizado dichos medios.</w:t>
      </w:r>
    </w:p>
    <w:p w:rsidR="00917E7A" w:rsidRDefault="00917E7A" w:rsidP="00917E7A">
      <w:pPr>
        <w:ind w:left="0" w:firstLine="0"/>
        <w:rPr>
          <w:rFonts w:ascii="Arial" w:hAnsi="Arial" w:cs="Arial"/>
          <w:lang w:val="es-ES"/>
        </w:rPr>
      </w:pPr>
    </w:p>
    <w:p w:rsidR="00917E7A" w:rsidRDefault="00917E7A" w:rsidP="00917E7A">
      <w:pPr>
        <w:ind w:left="0" w:firstLine="0"/>
        <w:rPr>
          <w:rFonts w:ascii="Arial" w:hAnsi="Arial" w:cs="Arial"/>
          <w:lang w:val="es-ES"/>
        </w:rPr>
      </w:pPr>
    </w:p>
    <w:p w:rsidR="00917E7A" w:rsidRDefault="00917E7A" w:rsidP="00917E7A">
      <w:pPr>
        <w:ind w:left="0" w:firstLine="0"/>
        <w:rPr>
          <w:rFonts w:ascii="Arial" w:hAnsi="Arial" w:cs="Arial"/>
          <w:lang w:val="es-ES"/>
        </w:rPr>
      </w:pPr>
      <w:r>
        <w:rPr>
          <w:rFonts w:ascii="Arial" w:hAnsi="Arial" w:cs="Arial"/>
          <w:lang w:val="es-ES"/>
        </w:rPr>
        <w:t>El plazo para informar, que ha cambiado respecto a ejercicios anteriores, se establece en el mes de octubre de cada año y en relación con los doce meses anteriores. En caso de haber causado baja en el ROAC debe remitirse los modelos referidos al periodo comprendido desde la última declaración hasta el momento en el que se produzca la baja.</w:t>
      </w:r>
    </w:p>
    <w:p w:rsidR="00917E7A" w:rsidRDefault="00917E7A" w:rsidP="00917E7A">
      <w:pPr>
        <w:ind w:left="0" w:firstLine="0"/>
        <w:rPr>
          <w:rFonts w:ascii="Arial" w:hAnsi="Arial" w:cs="Arial"/>
          <w:lang w:val="es-ES"/>
        </w:rPr>
      </w:pPr>
    </w:p>
    <w:p w:rsidR="00917E7A" w:rsidRDefault="00917E7A" w:rsidP="00917E7A">
      <w:pPr>
        <w:ind w:left="0" w:firstLine="0"/>
        <w:rPr>
          <w:rFonts w:ascii="Arial" w:hAnsi="Arial" w:cs="Arial"/>
          <w:lang w:val="es-ES"/>
        </w:rPr>
      </w:pPr>
      <w:r>
        <w:rPr>
          <w:rFonts w:ascii="Arial" w:hAnsi="Arial" w:cs="Arial"/>
          <w:lang w:val="es-ES"/>
        </w:rPr>
        <w:t xml:space="preserve">Por último recordar que la no remisión de dichos modelos es objeto de sanción, leve siempre que no hayan transcurrido tres meses desde la finalización del plazo establecido y grave si han transcurrido. </w:t>
      </w:r>
    </w:p>
    <w:p w:rsidR="00917E7A" w:rsidRDefault="00917E7A" w:rsidP="00917E7A">
      <w:pPr>
        <w:ind w:left="0" w:firstLine="0"/>
        <w:jc w:val="left"/>
      </w:pPr>
    </w:p>
    <w:p w:rsidR="00917E7A" w:rsidRDefault="00917E7A" w:rsidP="00917E7A">
      <w:pPr>
        <w:ind w:left="0" w:firstLine="0"/>
        <w:jc w:val="left"/>
      </w:pPr>
    </w:p>
    <w:tbl>
      <w:tblPr>
        <w:tblStyle w:val="Listamedia1-nfasis6"/>
        <w:tblW w:w="8553" w:type="dxa"/>
        <w:tblInd w:w="-34"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blBorders>
        <w:tblLook w:val="0480"/>
      </w:tblPr>
      <w:tblGrid>
        <w:gridCol w:w="873"/>
        <w:gridCol w:w="7680"/>
      </w:tblGrid>
      <w:tr w:rsidR="00917E7A" w:rsidRPr="00401271" w:rsidTr="00490C05">
        <w:trPr>
          <w:cnfStyle w:val="000000100000"/>
        </w:trPr>
        <w:tc>
          <w:tcPr>
            <w:cnfStyle w:val="001000000000"/>
            <w:tcW w:w="873" w:type="dxa"/>
            <w:tcBorders>
              <w:top w:val="nil"/>
              <w:left w:val="nil"/>
              <w:bottom w:val="nil"/>
              <w:right w:val="nil"/>
            </w:tcBorders>
            <w:shd w:val="clear" w:color="auto" w:fill="DBE5F1" w:themeFill="accent1" w:themeFillTint="33"/>
          </w:tcPr>
          <w:p w:rsidR="00917E7A" w:rsidRPr="00401271" w:rsidRDefault="00917E7A" w:rsidP="00490C05">
            <w:pPr>
              <w:ind w:left="0" w:right="-1" w:firstLine="0"/>
              <w:jc w:val="left"/>
              <w:rPr>
                <w:rFonts w:ascii="Arial" w:hAnsi="Arial" w:cs="Arial"/>
                <w:color w:val="1F497D" w:themeColor="text2"/>
                <w:lang w:val="es-ES"/>
              </w:rPr>
            </w:pPr>
            <w:r>
              <w:rPr>
                <w:rFonts w:ascii="Arial" w:hAnsi="Arial" w:cs="Arial"/>
                <w:color w:val="1F497D" w:themeColor="text2"/>
                <w:lang w:val="es-ES"/>
              </w:rPr>
              <w:t>9.3</w:t>
            </w:r>
          </w:p>
        </w:tc>
        <w:tc>
          <w:tcPr>
            <w:tcW w:w="7680" w:type="dxa"/>
            <w:tcBorders>
              <w:top w:val="nil"/>
              <w:left w:val="nil"/>
              <w:bottom w:val="nil"/>
              <w:right w:val="nil"/>
            </w:tcBorders>
            <w:shd w:val="clear" w:color="auto" w:fill="DBE5F1" w:themeFill="accent1" w:themeFillTint="33"/>
          </w:tcPr>
          <w:p w:rsidR="00917E7A" w:rsidRPr="00401271" w:rsidRDefault="00917E7A" w:rsidP="00490C05">
            <w:pPr>
              <w:ind w:left="0" w:right="-1" w:firstLine="0"/>
              <w:jc w:val="left"/>
              <w:cnfStyle w:val="000000100000"/>
              <w:rPr>
                <w:rFonts w:ascii="Arial" w:hAnsi="Arial" w:cs="Arial"/>
                <w:color w:val="1F497D" w:themeColor="text2"/>
                <w:lang w:val="es-ES"/>
              </w:rPr>
            </w:pPr>
            <w:r w:rsidRPr="00A12AB1">
              <w:rPr>
                <w:rFonts w:ascii="Arial" w:hAnsi="Arial" w:cs="Arial"/>
                <w:color w:val="1F497D" w:themeColor="text2"/>
                <w:lang w:val="es-ES"/>
              </w:rPr>
              <w:t>Informe de transparencia</w:t>
            </w:r>
          </w:p>
        </w:tc>
      </w:tr>
    </w:tbl>
    <w:p w:rsidR="00917E7A" w:rsidRDefault="00917E7A" w:rsidP="00917E7A">
      <w:pPr>
        <w:ind w:left="0" w:firstLine="0"/>
        <w:rPr>
          <w:rFonts w:ascii="Arial" w:hAnsi="Arial" w:cs="Arial"/>
          <w:lang w:val="es-ES"/>
        </w:rPr>
      </w:pPr>
    </w:p>
    <w:p w:rsidR="00917E7A" w:rsidRDefault="00917E7A" w:rsidP="00917E7A">
      <w:pPr>
        <w:ind w:left="0" w:firstLine="0"/>
        <w:rPr>
          <w:rFonts w:ascii="Arial" w:hAnsi="Arial" w:cs="Arial"/>
          <w:lang w:val="es-ES"/>
        </w:rPr>
      </w:pPr>
      <w:r w:rsidRPr="00B31849">
        <w:rPr>
          <w:rFonts w:ascii="Arial" w:hAnsi="Arial" w:cs="Arial"/>
          <w:lang w:val="es-ES"/>
        </w:rPr>
        <w:t>El informe de transparencia</w:t>
      </w:r>
      <w:r>
        <w:rPr>
          <w:rFonts w:ascii="Arial" w:hAnsi="Arial" w:cs="Arial"/>
          <w:lang w:val="es-ES"/>
        </w:rPr>
        <w:t xml:space="preserve">, que está regulado en el artículo 26 del TRLAC y 60 del RTRLAC, </w:t>
      </w:r>
      <w:r w:rsidRPr="00B31849">
        <w:rPr>
          <w:rFonts w:ascii="Arial" w:hAnsi="Arial" w:cs="Arial"/>
          <w:lang w:val="es-ES"/>
        </w:rPr>
        <w:t xml:space="preserve">es un documento informativo sobre </w:t>
      </w:r>
      <w:r>
        <w:rPr>
          <w:rFonts w:ascii="Arial" w:hAnsi="Arial" w:cs="Arial"/>
          <w:lang w:val="es-ES"/>
        </w:rPr>
        <w:t>“</w:t>
      </w:r>
      <w:r w:rsidRPr="00B31849">
        <w:rPr>
          <w:rFonts w:ascii="Arial" w:hAnsi="Arial" w:cs="Arial"/>
          <w:lang w:val="es-ES"/>
        </w:rPr>
        <w:t>aspectos esenciales de la estructura y actividad del auditor de cuentas o sociedad de auditoría que sean relevantes para comprender la organización, nivel de actividad y procesos de control del auditor de cuentas o de la sociedad de auditoría a los efectos de conocer el compromiso con el interés público de su labor”.</w:t>
      </w:r>
      <w:r>
        <w:rPr>
          <w:rFonts w:ascii="Arial" w:hAnsi="Arial" w:cs="Arial"/>
          <w:lang w:val="es-ES"/>
        </w:rPr>
        <w:t xml:space="preserve"> Es de obligado cumplimiento para los auditores de cuentas y sociedades de auditoría que realicen auditorías de cuentas de entidades de interés público, según se detallan en el apartado 6 de este cuaderno técnico y las entidades de auditoría de terceros países a que se refiere el artículo 10.4 del TRLAC. </w:t>
      </w:r>
    </w:p>
    <w:p w:rsidR="00917E7A" w:rsidRDefault="00917E7A" w:rsidP="00917E7A">
      <w:pPr>
        <w:ind w:left="0" w:firstLine="0"/>
        <w:rPr>
          <w:rFonts w:ascii="Arial" w:hAnsi="Arial" w:cs="Arial"/>
          <w:lang w:val="es-ES"/>
        </w:rPr>
      </w:pPr>
    </w:p>
    <w:p w:rsidR="00917E7A" w:rsidRPr="00B31849" w:rsidRDefault="00917E7A" w:rsidP="00917E7A">
      <w:pPr>
        <w:ind w:left="0" w:firstLine="0"/>
        <w:rPr>
          <w:rFonts w:ascii="Arial" w:hAnsi="Arial" w:cs="Arial"/>
          <w:lang w:val="es-ES"/>
        </w:rPr>
      </w:pPr>
      <w:r>
        <w:rPr>
          <w:rFonts w:ascii="Arial" w:hAnsi="Arial" w:cs="Arial"/>
          <w:lang w:val="es-ES"/>
        </w:rPr>
        <w:t>La publicación del informe de transparencia debe realizarse en la página web en los tres meses siguientes a la finalización del año natural para los auditores de cuentas o del ejercicio económico para las sociedades de auditoría.</w:t>
      </w:r>
    </w:p>
    <w:p w:rsidR="00917E7A" w:rsidRDefault="00917E7A" w:rsidP="00917E7A">
      <w:pPr>
        <w:ind w:left="0" w:firstLine="0"/>
        <w:jc w:val="left"/>
      </w:pPr>
    </w:p>
    <w:p w:rsidR="00917E7A" w:rsidRDefault="00917E7A" w:rsidP="00917E7A">
      <w:pPr>
        <w:ind w:left="0" w:firstLine="0"/>
        <w:jc w:val="left"/>
      </w:pPr>
    </w:p>
    <w:tbl>
      <w:tblPr>
        <w:tblStyle w:val="Listamedia1-nfasis6"/>
        <w:tblW w:w="8553" w:type="dxa"/>
        <w:tblInd w:w="-34"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blBorders>
        <w:tblLook w:val="0480"/>
      </w:tblPr>
      <w:tblGrid>
        <w:gridCol w:w="873"/>
        <w:gridCol w:w="7680"/>
      </w:tblGrid>
      <w:tr w:rsidR="00917E7A" w:rsidRPr="00401271" w:rsidTr="00490C05">
        <w:trPr>
          <w:cnfStyle w:val="000000100000"/>
        </w:trPr>
        <w:tc>
          <w:tcPr>
            <w:cnfStyle w:val="001000000000"/>
            <w:tcW w:w="873" w:type="dxa"/>
            <w:tcBorders>
              <w:top w:val="nil"/>
              <w:left w:val="nil"/>
              <w:bottom w:val="nil"/>
              <w:right w:val="nil"/>
            </w:tcBorders>
            <w:shd w:val="clear" w:color="auto" w:fill="DBE5F1" w:themeFill="accent1" w:themeFillTint="33"/>
          </w:tcPr>
          <w:p w:rsidR="00917E7A" w:rsidRPr="00401271" w:rsidRDefault="00917E7A" w:rsidP="00490C05">
            <w:pPr>
              <w:ind w:left="0" w:right="-1" w:firstLine="0"/>
              <w:jc w:val="left"/>
              <w:rPr>
                <w:rFonts w:ascii="Arial" w:hAnsi="Arial" w:cs="Arial"/>
                <w:color w:val="1F497D" w:themeColor="text2"/>
                <w:lang w:val="es-ES"/>
              </w:rPr>
            </w:pPr>
            <w:r>
              <w:rPr>
                <w:rFonts w:ascii="Arial" w:hAnsi="Arial" w:cs="Arial"/>
                <w:color w:val="1F497D" w:themeColor="text2"/>
                <w:lang w:val="es-ES"/>
              </w:rPr>
              <w:t>9.4</w:t>
            </w:r>
          </w:p>
        </w:tc>
        <w:tc>
          <w:tcPr>
            <w:tcW w:w="7680" w:type="dxa"/>
            <w:tcBorders>
              <w:top w:val="nil"/>
              <w:left w:val="nil"/>
              <w:bottom w:val="nil"/>
              <w:right w:val="nil"/>
            </w:tcBorders>
            <w:shd w:val="clear" w:color="auto" w:fill="DBE5F1" w:themeFill="accent1" w:themeFillTint="33"/>
          </w:tcPr>
          <w:p w:rsidR="00917E7A" w:rsidRPr="00401271" w:rsidRDefault="00917E7A" w:rsidP="00490C05">
            <w:pPr>
              <w:ind w:left="0" w:right="-1" w:firstLine="0"/>
              <w:jc w:val="left"/>
              <w:cnfStyle w:val="000000100000"/>
              <w:rPr>
                <w:rFonts w:ascii="Arial" w:hAnsi="Arial" w:cs="Arial"/>
                <w:color w:val="1F497D" w:themeColor="text2"/>
                <w:lang w:val="es-ES"/>
              </w:rPr>
            </w:pPr>
            <w:r w:rsidRPr="00636BC5">
              <w:rPr>
                <w:rFonts w:ascii="Arial" w:hAnsi="Arial" w:cs="Arial"/>
                <w:color w:val="1F497D" w:themeColor="text2"/>
                <w:lang w:val="es-ES"/>
              </w:rPr>
              <w:t>Deberes de información en caso de pérdida o deterioro de la documentación</w:t>
            </w:r>
          </w:p>
        </w:tc>
      </w:tr>
    </w:tbl>
    <w:p w:rsidR="00917E7A" w:rsidRDefault="00917E7A" w:rsidP="00917E7A">
      <w:pPr>
        <w:ind w:left="0" w:firstLine="0"/>
        <w:jc w:val="left"/>
      </w:pPr>
    </w:p>
    <w:p w:rsidR="00917E7A" w:rsidRPr="00262A9B" w:rsidRDefault="00917E7A" w:rsidP="00917E7A">
      <w:pPr>
        <w:ind w:left="0" w:firstLine="0"/>
        <w:rPr>
          <w:rFonts w:ascii="Arial" w:hAnsi="Arial" w:cs="Arial"/>
          <w:lang w:val="es-ES"/>
        </w:rPr>
      </w:pPr>
      <w:r w:rsidRPr="00262A9B">
        <w:rPr>
          <w:rFonts w:ascii="Arial" w:hAnsi="Arial" w:cs="Arial"/>
          <w:lang w:val="es-ES"/>
        </w:rPr>
        <w:t>La legislación de auditoría, artículos 24 del TRLAC y 58 del RTRLAC</w:t>
      </w:r>
      <w:r>
        <w:rPr>
          <w:rFonts w:ascii="Arial" w:hAnsi="Arial" w:cs="Arial"/>
          <w:lang w:val="es-ES"/>
        </w:rPr>
        <w:t>,</w:t>
      </w:r>
      <w:r w:rsidRPr="00262A9B">
        <w:rPr>
          <w:rFonts w:ascii="Arial" w:hAnsi="Arial" w:cs="Arial"/>
          <w:lang w:val="es-ES"/>
        </w:rPr>
        <w:t xml:space="preserve"> obliga a conservar y custodiar la documentación de las auditorías de cuentas realizadas durante cinco años, a contar desde la fecha del informe de auditoría, debiendo adopt</w:t>
      </w:r>
      <w:r>
        <w:rPr>
          <w:rFonts w:ascii="Arial" w:hAnsi="Arial" w:cs="Arial"/>
          <w:lang w:val="es-ES"/>
        </w:rPr>
        <w:t>a</w:t>
      </w:r>
      <w:r w:rsidRPr="00262A9B">
        <w:rPr>
          <w:rFonts w:ascii="Arial" w:hAnsi="Arial" w:cs="Arial"/>
          <w:lang w:val="es-ES"/>
        </w:rPr>
        <w:t>r las medidas necesarias de salvaguarda y conservación de la documentación pertinentes.</w:t>
      </w:r>
    </w:p>
    <w:p w:rsidR="00917E7A" w:rsidRPr="00262A9B" w:rsidRDefault="00917E7A" w:rsidP="00917E7A">
      <w:pPr>
        <w:ind w:left="0" w:firstLine="0"/>
        <w:rPr>
          <w:rFonts w:ascii="Arial" w:hAnsi="Arial" w:cs="Arial"/>
          <w:lang w:val="es-ES"/>
        </w:rPr>
      </w:pPr>
    </w:p>
    <w:p w:rsidR="00815E91" w:rsidRPr="00917E7A" w:rsidRDefault="00917E7A" w:rsidP="00917E7A">
      <w:pPr>
        <w:ind w:left="0" w:firstLine="0"/>
        <w:rPr>
          <w:lang w:val="es-ES"/>
        </w:rPr>
      </w:pPr>
      <w:r w:rsidRPr="00262A9B">
        <w:rPr>
          <w:rFonts w:ascii="Arial" w:hAnsi="Arial" w:cs="Arial"/>
          <w:lang w:val="es-ES"/>
        </w:rPr>
        <w:t>La pérdida o deterior</w:t>
      </w:r>
      <w:r>
        <w:rPr>
          <w:rFonts w:ascii="Arial" w:hAnsi="Arial" w:cs="Arial"/>
          <w:lang w:val="es-ES"/>
        </w:rPr>
        <w:t>o</w:t>
      </w:r>
      <w:r w:rsidRPr="00262A9B">
        <w:rPr>
          <w:rFonts w:ascii="Arial" w:hAnsi="Arial" w:cs="Arial"/>
          <w:lang w:val="es-ES"/>
        </w:rPr>
        <w:t xml:space="preserve"> de</w:t>
      </w:r>
      <w:r>
        <w:rPr>
          <w:rFonts w:ascii="Arial" w:hAnsi="Arial" w:cs="Arial"/>
          <w:lang w:val="es-ES"/>
        </w:rPr>
        <w:t xml:space="preserve"> </w:t>
      </w:r>
      <w:r w:rsidRPr="00262A9B">
        <w:rPr>
          <w:rFonts w:ascii="Arial" w:hAnsi="Arial" w:cs="Arial"/>
          <w:lang w:val="es-ES"/>
        </w:rPr>
        <w:t>la documentación debe ser comunicada al ICAC junto con las razones en un plazo de diez días a contar desde que se produce el hecho.</w:t>
      </w:r>
    </w:p>
    <w:sectPr w:rsidR="00815E91" w:rsidRPr="00917E7A" w:rsidSect="00917E7A">
      <w:footerReference w:type="default" r:id="rId7"/>
      <w:pgSz w:w="11906" w:h="16838"/>
      <w:pgMar w:top="851" w:right="1274" w:bottom="1417" w:left="212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395" w:rsidRDefault="004E2395" w:rsidP="00917E7A">
      <w:r>
        <w:separator/>
      </w:r>
    </w:p>
  </w:endnote>
  <w:endnote w:type="continuationSeparator" w:id="0">
    <w:p w:rsidR="004E2395" w:rsidRDefault="004E2395" w:rsidP="00917E7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E7A" w:rsidRDefault="00917E7A" w:rsidP="00917E7A">
    <w:pPr>
      <w:pStyle w:val="Piedepgina"/>
      <w:jc w:val="right"/>
    </w:pPr>
    <w:proofErr w:type="spellStart"/>
    <w:r>
      <w:t>junio</w:t>
    </w:r>
    <w:proofErr w:type="spellEnd"/>
    <w:r>
      <w:t xml:space="preserve"> 2013</w:t>
    </w:r>
  </w:p>
  <w:p w:rsidR="00917E7A" w:rsidRDefault="00917E7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395" w:rsidRDefault="004E2395" w:rsidP="00917E7A">
      <w:r>
        <w:separator/>
      </w:r>
    </w:p>
  </w:footnote>
  <w:footnote w:type="continuationSeparator" w:id="0">
    <w:p w:rsidR="004E2395" w:rsidRDefault="004E2395" w:rsidP="00917E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216BF8"/>
    <w:multiLevelType w:val="hybridMultilevel"/>
    <w:tmpl w:val="9FC039C0"/>
    <w:lvl w:ilvl="0" w:tplc="5DAAD7B4">
      <w:start w:val="1"/>
      <w:numFmt w:val="lowerLetter"/>
      <w:lvlText w:val="%1."/>
      <w:lvlJc w:val="left"/>
      <w:pPr>
        <w:ind w:left="720" w:hanging="360"/>
      </w:pPr>
      <w:rPr>
        <w:rFonts w:ascii="Arial" w:hAnsi="Arial" w:hint="default"/>
        <w:b w:val="0"/>
        <w:i w:val="0"/>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71089E"/>
    <w:rsid w:val="004E2395"/>
    <w:rsid w:val="005D7617"/>
    <w:rsid w:val="0071089E"/>
    <w:rsid w:val="00815E91"/>
    <w:rsid w:val="0083309E"/>
    <w:rsid w:val="00917E7A"/>
    <w:rsid w:val="00B71E70"/>
    <w:rsid w:val="00B74EE5"/>
    <w:rsid w:val="00EE5C1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89E"/>
    <w:pPr>
      <w:spacing w:after="0" w:line="240" w:lineRule="auto"/>
      <w:ind w:left="714" w:hanging="357"/>
      <w:jc w:val="both"/>
    </w:pPr>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Listamedia1-nfasis6">
    <w:name w:val="Medium List 1 Accent 6"/>
    <w:basedOn w:val="Tablanormal"/>
    <w:uiPriority w:val="65"/>
    <w:rsid w:val="0071089E"/>
    <w:pPr>
      <w:spacing w:after="0" w:line="240" w:lineRule="auto"/>
      <w:ind w:left="714" w:hanging="357"/>
      <w:jc w:val="both"/>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paragraph" w:styleId="Prrafodelista">
    <w:name w:val="List Paragraph"/>
    <w:basedOn w:val="Normal"/>
    <w:uiPriority w:val="34"/>
    <w:qFormat/>
    <w:rsid w:val="0071089E"/>
    <w:pPr>
      <w:ind w:left="720"/>
      <w:contextualSpacing/>
    </w:pPr>
  </w:style>
  <w:style w:type="table" w:styleId="Tablaconcuadrcula">
    <w:name w:val="Table Grid"/>
    <w:basedOn w:val="Tablanormal"/>
    <w:uiPriority w:val="59"/>
    <w:rsid w:val="0071089E"/>
    <w:pPr>
      <w:spacing w:after="0" w:line="240" w:lineRule="auto"/>
      <w:ind w:left="714" w:hanging="357"/>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71089E"/>
    <w:pPr>
      <w:spacing w:before="100" w:beforeAutospacing="1" w:after="100" w:afterAutospacing="1"/>
      <w:ind w:left="0" w:firstLine="0"/>
      <w:jc w:val="left"/>
    </w:pPr>
    <w:rPr>
      <w:rFonts w:ascii="Times New Roman" w:eastAsia="Times New Roman" w:hAnsi="Times New Roman" w:cs="Times New Roman"/>
      <w:sz w:val="24"/>
      <w:szCs w:val="24"/>
      <w:lang w:val="es-ES" w:eastAsia="es-ES"/>
    </w:rPr>
  </w:style>
  <w:style w:type="paragraph" w:customStyle="1" w:styleId="Default">
    <w:name w:val="Default"/>
    <w:rsid w:val="0071089E"/>
    <w:pPr>
      <w:autoSpaceDE w:val="0"/>
      <w:autoSpaceDN w:val="0"/>
      <w:adjustRightInd w:val="0"/>
      <w:spacing w:after="0" w:line="240" w:lineRule="auto"/>
    </w:pPr>
    <w:rPr>
      <w:rFonts w:ascii="Verdana" w:eastAsia="Calibri" w:hAnsi="Verdana" w:cs="Verdana"/>
      <w:color w:val="000000"/>
      <w:sz w:val="24"/>
      <w:szCs w:val="24"/>
      <w:lang w:eastAsia="es-ES"/>
    </w:rPr>
  </w:style>
  <w:style w:type="paragraph" w:styleId="Encabezado">
    <w:name w:val="header"/>
    <w:basedOn w:val="Normal"/>
    <w:link w:val="EncabezadoCar"/>
    <w:uiPriority w:val="99"/>
    <w:semiHidden/>
    <w:unhideWhenUsed/>
    <w:rsid w:val="00917E7A"/>
    <w:pPr>
      <w:tabs>
        <w:tab w:val="center" w:pos="4252"/>
        <w:tab w:val="right" w:pos="8504"/>
      </w:tabs>
    </w:pPr>
  </w:style>
  <w:style w:type="character" w:customStyle="1" w:styleId="EncabezadoCar">
    <w:name w:val="Encabezado Car"/>
    <w:basedOn w:val="Fuentedeprrafopredeter"/>
    <w:link w:val="Encabezado"/>
    <w:uiPriority w:val="99"/>
    <w:semiHidden/>
    <w:rsid w:val="00917E7A"/>
    <w:rPr>
      <w:lang w:val="ca-ES"/>
    </w:rPr>
  </w:style>
  <w:style w:type="paragraph" w:styleId="Piedepgina">
    <w:name w:val="footer"/>
    <w:basedOn w:val="Normal"/>
    <w:link w:val="PiedepginaCar"/>
    <w:uiPriority w:val="99"/>
    <w:unhideWhenUsed/>
    <w:rsid w:val="00917E7A"/>
    <w:pPr>
      <w:tabs>
        <w:tab w:val="center" w:pos="4252"/>
        <w:tab w:val="right" w:pos="8504"/>
      </w:tabs>
    </w:pPr>
  </w:style>
  <w:style w:type="character" w:customStyle="1" w:styleId="PiedepginaCar">
    <w:name w:val="Pie de página Car"/>
    <w:basedOn w:val="Fuentedeprrafopredeter"/>
    <w:link w:val="Piedepgina"/>
    <w:uiPriority w:val="99"/>
    <w:rsid w:val="00917E7A"/>
    <w:rPr>
      <w:lang w:val="ca-ES"/>
    </w:rPr>
  </w:style>
  <w:style w:type="paragraph" w:styleId="Textodeglobo">
    <w:name w:val="Balloon Text"/>
    <w:basedOn w:val="Normal"/>
    <w:link w:val="TextodegloboCar"/>
    <w:uiPriority w:val="99"/>
    <w:semiHidden/>
    <w:unhideWhenUsed/>
    <w:rsid w:val="00917E7A"/>
    <w:rPr>
      <w:rFonts w:ascii="Tahoma" w:hAnsi="Tahoma" w:cs="Tahoma"/>
      <w:sz w:val="16"/>
      <w:szCs w:val="16"/>
    </w:rPr>
  </w:style>
  <w:style w:type="character" w:customStyle="1" w:styleId="TextodegloboCar">
    <w:name w:val="Texto de globo Car"/>
    <w:basedOn w:val="Fuentedeprrafopredeter"/>
    <w:link w:val="Textodeglobo"/>
    <w:uiPriority w:val="99"/>
    <w:semiHidden/>
    <w:rsid w:val="00917E7A"/>
    <w:rPr>
      <w:rFonts w:ascii="Tahoma" w:hAnsi="Tahoma" w:cs="Tahoma"/>
      <w:sz w:val="16"/>
      <w:szCs w:val="16"/>
      <w:lang w:val="ca-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929</Words>
  <Characters>5112</Characters>
  <Application>Microsoft Office Word</Application>
  <DocSecurity>0</DocSecurity>
  <Lines>42</Lines>
  <Paragraphs>12</Paragraphs>
  <ScaleCrop>false</ScaleCrop>
  <Company/>
  <LinksUpToDate>false</LinksUpToDate>
  <CharactersWithSpaces>6029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broman</dc:creator>
  <cp:keywords/>
  <dc:description/>
  <cp:lastModifiedBy>broman</cp:lastModifiedBy>
  <cp:revision>3</cp:revision>
  <cp:lastPrinted>2014-02-05T15:06:00Z</cp:lastPrinted>
  <dcterms:created xsi:type="dcterms:W3CDTF">2014-02-04T16:26:00Z</dcterms:created>
  <dcterms:modified xsi:type="dcterms:W3CDTF">2014-02-05T15:06:00Z</dcterms:modified>
</cp:coreProperties>
</file>